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bookmarkStart w:id="2" w:name="_GoBack"/>
      <w:bookmarkEnd w:id="2"/>
      <w:r w:rsidRPr="00D90968">
        <w:rPr>
          <w:sz w:val="20"/>
          <w:lang w:val="sv-SE"/>
        </w:rPr>
        <w:t>3GPP TSG-RAN WG</w:t>
      </w:r>
      <w:r w:rsidR="00D422B2">
        <w:rPr>
          <w:sz w:val="20"/>
          <w:lang w:val="sv-SE"/>
        </w:rPr>
        <w:t>4</w:t>
      </w:r>
      <w:r w:rsidRPr="00D90968">
        <w:rPr>
          <w:sz w:val="20"/>
          <w:lang w:val="sv-SE"/>
        </w:rPr>
        <w:t xml:space="preserve"> #</w:t>
      </w:r>
      <w:r w:rsidR="00BA00DF">
        <w:rPr>
          <w:sz w:val="20"/>
          <w:lang w:val="sv-SE"/>
        </w:rPr>
        <w:t>66Bis</w:t>
      </w:r>
      <w:r w:rsidRPr="00D90968">
        <w:rPr>
          <w:sz w:val="20"/>
          <w:lang w:val="sv-SE"/>
        </w:rPr>
        <w:tab/>
      </w:r>
      <w:r w:rsidR="00EE490F" w:rsidRPr="00EE490F">
        <w:rPr>
          <w:sz w:val="20"/>
          <w:lang w:val="sv-SE"/>
        </w:rPr>
        <w:t>R4-131736</w:t>
      </w:r>
    </w:p>
    <w:p w:rsidR="00197EC1" w:rsidRDefault="00B3700B" w:rsidP="00197EC1">
      <w:pPr>
        <w:pStyle w:val="FootnoteText"/>
        <w:rPr>
          <w:rFonts w:ascii="Arial" w:eastAsia="Times New Roman" w:hAnsi="Arial" w:cs="Arial"/>
          <w:b/>
          <w:bCs/>
          <w:noProof/>
          <w:szCs w:val="18"/>
          <w:lang w:eastAsia="zh-CN"/>
        </w:rPr>
      </w:pPr>
      <w:r w:rsidRPr="00B3700B">
        <w:rPr>
          <w:rFonts w:ascii="Arial" w:eastAsia="Times New Roman" w:hAnsi="Arial" w:cs="Arial"/>
          <w:b/>
          <w:bCs/>
          <w:noProof/>
          <w:szCs w:val="18"/>
          <w:lang w:eastAsia="zh-CN"/>
        </w:rPr>
        <w:t>Chicago, USA, 15th – 19th April 2013</w:t>
      </w:r>
    </w:p>
    <w:p w:rsidR="00B3700B" w:rsidRPr="00D90968" w:rsidRDefault="00B3700B"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237E20">
        <w:rPr>
          <w:sz w:val="20"/>
          <w:lang w:val="en-US"/>
        </w:rPr>
        <w:t>, ST-Ericsson</w:t>
      </w:r>
    </w:p>
    <w:p w:rsidR="00197EC1" w:rsidRPr="00D13FCF" w:rsidRDefault="00197EC1" w:rsidP="00D13FCF">
      <w:pPr>
        <w:pStyle w:val="TdocHeader2"/>
        <w:ind w:left="1695" w:hanging="1695"/>
        <w:rPr>
          <w:sz w:val="20"/>
          <w:lang w:val="de-DE"/>
        </w:rPr>
      </w:pPr>
      <w:r w:rsidRPr="008979AC">
        <w:rPr>
          <w:sz w:val="20"/>
          <w:lang w:val="en-US"/>
        </w:rPr>
        <w:t>Title:</w:t>
      </w:r>
      <w:bookmarkStart w:id="3" w:name="Title"/>
      <w:bookmarkEnd w:id="3"/>
      <w:r w:rsidRPr="008979AC">
        <w:rPr>
          <w:sz w:val="20"/>
          <w:lang w:val="en-US"/>
        </w:rPr>
        <w:tab/>
      </w:r>
      <w:r w:rsidR="00D13FCF" w:rsidRPr="00D13FCF">
        <w:rPr>
          <w:sz w:val="20"/>
          <w:lang w:val="en-US"/>
        </w:rPr>
        <w:t>Evaluation methodologies and Simulation assumptions for performance requirements for LTE UE CRS-IM SI</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EE1E9A">
        <w:rPr>
          <w:sz w:val="20"/>
          <w:lang w:val="en-US"/>
        </w:rPr>
        <w:t>9.8.1</w:t>
      </w:r>
    </w:p>
    <w:p w:rsidR="00197EC1" w:rsidRPr="0027658D" w:rsidRDefault="00D90968" w:rsidP="00197EC1">
      <w:pPr>
        <w:pStyle w:val="TdocHeader2"/>
        <w:rPr>
          <w:sz w:val="20"/>
          <w:lang w:val="en-US"/>
        </w:rPr>
      </w:pPr>
      <w:r>
        <w:rPr>
          <w:sz w:val="20"/>
          <w:lang w:val="en-US"/>
        </w:rPr>
        <w:t>Document for:</w:t>
      </w:r>
      <w:r>
        <w:rPr>
          <w:sz w:val="20"/>
          <w:lang w:val="en-US"/>
        </w:rPr>
        <w:tab/>
      </w:r>
      <w:r w:rsidR="00D13FCF" w:rsidRPr="00D13FCF">
        <w:rPr>
          <w:sz w:val="20"/>
          <w:lang w:val="en-US"/>
        </w:rPr>
        <w:t>Approval</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D13FCF" w:rsidRPr="00D13FCF" w:rsidRDefault="00D13FCF" w:rsidP="00CE10C4">
      <w:pPr>
        <w:pStyle w:val="BodyText"/>
      </w:pPr>
      <w:r w:rsidRPr="00D13FCF">
        <w:t>This paper provides the evaluation methodologies and initial simulation assumptions for enhanced performance requirements for LTE UE</w:t>
      </w:r>
      <w:r w:rsidR="002C2B3A">
        <w:t xml:space="preserve"> CRS-IM</w:t>
      </w:r>
      <w:r w:rsidRPr="00D13FCF">
        <w:t xml:space="preserve"> studies.</w:t>
      </w:r>
    </w:p>
    <w:p w:rsidR="00BA00DF" w:rsidRDefault="00D13FCF" w:rsidP="00D13FCF">
      <w:pPr>
        <w:pStyle w:val="Heading1"/>
        <w:rPr>
          <w:lang w:eastAsia="ja-JP"/>
        </w:rPr>
      </w:pPr>
      <w:r w:rsidRPr="005861D8">
        <w:rPr>
          <w:lang w:eastAsia="ja-JP"/>
        </w:rPr>
        <w:t>Baseline receiver structure</w:t>
      </w:r>
      <w:r w:rsidRPr="005861D8">
        <w:rPr>
          <w:lang w:eastAsia="ja-JP"/>
        </w:rPr>
        <w:softHyphen/>
      </w:r>
      <w:r w:rsidRPr="005861D8">
        <w:rPr>
          <w:lang w:eastAsia="ja-JP"/>
        </w:rPr>
        <w:softHyphen/>
      </w:r>
      <w:r w:rsidRPr="005861D8">
        <w:rPr>
          <w:lang w:eastAsia="ja-JP"/>
        </w:rPr>
        <w:softHyphen/>
      </w:r>
    </w:p>
    <w:p w:rsidR="00AF14D9" w:rsidRPr="00AF14D9" w:rsidRDefault="00AF14D9" w:rsidP="00AF14D9">
      <w:pPr>
        <w:rPr>
          <w:lang w:eastAsia="ja-JP"/>
        </w:rPr>
      </w:pPr>
      <w:r>
        <w:rPr>
          <w:lang w:eastAsia="ja-JP"/>
        </w:rPr>
        <w:t xml:space="preserve">According to the SI description [2], the baseline receiver can be: </w:t>
      </w:r>
    </w:p>
    <w:p w:rsidR="00DC6D4A" w:rsidRPr="00DC6D4A" w:rsidRDefault="00DC6D4A" w:rsidP="00DC6D4A">
      <w:pPr>
        <w:pStyle w:val="ListParagraph"/>
        <w:numPr>
          <w:ilvl w:val="0"/>
          <w:numId w:val="18"/>
        </w:numPr>
        <w:rPr>
          <w:lang w:val="en-US" w:eastAsia="ja-JP"/>
        </w:rPr>
      </w:pPr>
      <w:r w:rsidRPr="00DC6D4A">
        <w:rPr>
          <w:lang w:val="en-US" w:eastAsia="ja-JP"/>
        </w:rPr>
        <w:t xml:space="preserve">Reuse of CRS IM receiver assumed for Release 11 </w:t>
      </w:r>
      <w:proofErr w:type="spellStart"/>
      <w:r w:rsidRPr="00DC6D4A">
        <w:rPr>
          <w:lang w:val="en-US" w:eastAsia="ja-JP"/>
        </w:rPr>
        <w:t>FeICIC</w:t>
      </w:r>
      <w:proofErr w:type="spellEnd"/>
      <w:r w:rsidRPr="00DC6D4A">
        <w:rPr>
          <w:lang w:val="en-US" w:eastAsia="ja-JP"/>
        </w:rPr>
        <w:t>.</w:t>
      </w:r>
    </w:p>
    <w:p w:rsidR="00DC6D4A" w:rsidRDefault="00DC6D4A" w:rsidP="00311735">
      <w:pPr>
        <w:pStyle w:val="ListParagraph"/>
        <w:numPr>
          <w:ilvl w:val="0"/>
          <w:numId w:val="18"/>
        </w:numPr>
        <w:rPr>
          <w:lang w:val="en-US" w:eastAsia="ja-JP"/>
        </w:rPr>
      </w:pPr>
      <w:r w:rsidRPr="00DC6D4A">
        <w:rPr>
          <w:lang w:val="en-US" w:eastAsia="ja-JP"/>
        </w:rPr>
        <w:t>Reuse of MMSE-IRC receiver as the baseline receiver. MMSE-IRC does not differentiate CRS or data interference when suppressing them and was assumed for Release 11 work item on interference rejection combining.</w:t>
      </w:r>
    </w:p>
    <w:p w:rsidR="00311735" w:rsidRDefault="00311735" w:rsidP="00311735">
      <w:pPr>
        <w:pStyle w:val="Heading1"/>
        <w:rPr>
          <w:lang w:eastAsia="ja-JP"/>
        </w:rPr>
      </w:pPr>
      <w:r w:rsidRPr="005861D8">
        <w:rPr>
          <w:lang w:eastAsia="ja-JP"/>
        </w:rPr>
        <w:t>Evaluation methodologies</w:t>
      </w:r>
      <w:r>
        <w:rPr>
          <w:rFonts w:hint="eastAsia"/>
          <w:lang w:eastAsia="ja-JP"/>
        </w:rPr>
        <w:t xml:space="preserve"> and timeline</w:t>
      </w:r>
    </w:p>
    <w:p w:rsidR="00311735" w:rsidRDefault="00311735" w:rsidP="00311735">
      <w:pPr>
        <w:rPr>
          <w:lang w:eastAsia="ja-JP"/>
        </w:rPr>
      </w:pPr>
      <w:r>
        <w:rPr>
          <w:lang w:eastAsia="ja-JP"/>
        </w:rPr>
        <w:t>Evaluation steps and timeline are show in as follow:</w:t>
      </w:r>
    </w:p>
    <w:p w:rsidR="00311735" w:rsidRDefault="00311735" w:rsidP="00311735">
      <w:pPr>
        <w:pStyle w:val="ListParagraph"/>
        <w:numPr>
          <w:ilvl w:val="0"/>
          <w:numId w:val="20"/>
        </w:numPr>
        <w:rPr>
          <w:lang w:eastAsia="ja-JP"/>
        </w:rPr>
      </w:pPr>
      <w:r>
        <w:rPr>
          <w:lang w:eastAsia="ja-JP"/>
        </w:rPr>
        <w:t>RAN4 #66bis (April 2013):</w:t>
      </w:r>
    </w:p>
    <w:p w:rsidR="00311735" w:rsidRDefault="00311735" w:rsidP="00311735">
      <w:pPr>
        <w:pStyle w:val="ListParagraph"/>
        <w:numPr>
          <w:ilvl w:val="1"/>
          <w:numId w:val="21"/>
        </w:numPr>
        <w:rPr>
          <w:lang w:eastAsia="ja-JP"/>
        </w:rPr>
      </w:pPr>
      <w:r>
        <w:rPr>
          <w:lang w:eastAsia="ja-JP"/>
        </w:rPr>
        <w:t xml:space="preserve">Agreement on scenarios and simulation assumptions for system simulations including traffic loading levels. </w:t>
      </w:r>
    </w:p>
    <w:p w:rsidR="00311735" w:rsidRDefault="00311735" w:rsidP="00311735">
      <w:pPr>
        <w:pStyle w:val="ListParagraph"/>
        <w:numPr>
          <w:ilvl w:val="1"/>
          <w:numId w:val="21"/>
        </w:numPr>
        <w:rPr>
          <w:lang w:eastAsia="ja-JP"/>
        </w:rPr>
      </w:pPr>
      <w:r>
        <w:rPr>
          <w:lang w:eastAsia="ja-JP"/>
        </w:rPr>
        <w:t>Agreement on the baseline receiver.</w:t>
      </w:r>
    </w:p>
    <w:p w:rsidR="00311735" w:rsidRDefault="00311735" w:rsidP="00311735">
      <w:pPr>
        <w:pStyle w:val="ListParagraph"/>
        <w:numPr>
          <w:ilvl w:val="0"/>
          <w:numId w:val="20"/>
        </w:numPr>
        <w:rPr>
          <w:lang w:eastAsia="ja-JP"/>
        </w:rPr>
      </w:pPr>
      <w:r>
        <w:rPr>
          <w:lang w:eastAsia="ja-JP"/>
        </w:rPr>
        <w:t>RAN4 #67 (May 2013):</w:t>
      </w:r>
    </w:p>
    <w:p w:rsidR="00311735" w:rsidRDefault="00311735" w:rsidP="00311735">
      <w:pPr>
        <w:pStyle w:val="ListParagraph"/>
        <w:numPr>
          <w:ilvl w:val="1"/>
          <w:numId w:val="22"/>
        </w:numPr>
        <w:rPr>
          <w:lang w:eastAsia="ja-JP"/>
        </w:rPr>
      </w:pPr>
      <w:r>
        <w:rPr>
          <w:lang w:eastAsia="ja-JP"/>
        </w:rPr>
        <w:t>First review of system simulation results</w:t>
      </w:r>
    </w:p>
    <w:p w:rsidR="00311735" w:rsidRDefault="00311735" w:rsidP="00311735">
      <w:pPr>
        <w:pStyle w:val="ListParagraph"/>
        <w:numPr>
          <w:ilvl w:val="1"/>
          <w:numId w:val="22"/>
        </w:numPr>
        <w:rPr>
          <w:lang w:eastAsia="ja-JP"/>
        </w:rPr>
      </w:pPr>
      <w:r>
        <w:rPr>
          <w:lang w:eastAsia="ja-JP"/>
        </w:rPr>
        <w:t xml:space="preserve">Agreements on link simulation assumptions based on traffic loading levels evaluated and the corresponding gain observed. </w:t>
      </w:r>
    </w:p>
    <w:p w:rsidR="00311735" w:rsidRDefault="00311735" w:rsidP="00311735">
      <w:pPr>
        <w:pStyle w:val="ListParagraph"/>
        <w:numPr>
          <w:ilvl w:val="0"/>
          <w:numId w:val="20"/>
        </w:numPr>
        <w:rPr>
          <w:lang w:eastAsia="ja-JP"/>
        </w:rPr>
      </w:pPr>
      <w:r>
        <w:rPr>
          <w:lang w:eastAsia="ja-JP"/>
        </w:rPr>
        <w:t xml:space="preserve">RAN4 #68 (August 2013): </w:t>
      </w:r>
    </w:p>
    <w:p w:rsidR="00311735" w:rsidRDefault="00311735" w:rsidP="00311735">
      <w:pPr>
        <w:pStyle w:val="ListParagraph"/>
        <w:numPr>
          <w:ilvl w:val="1"/>
          <w:numId w:val="23"/>
        </w:numPr>
        <w:rPr>
          <w:lang w:eastAsia="ja-JP"/>
        </w:rPr>
      </w:pPr>
      <w:r>
        <w:rPr>
          <w:lang w:eastAsia="ja-JP"/>
        </w:rPr>
        <w:t xml:space="preserve">Review of final system simulation results including realistic CRS IM </w:t>
      </w:r>
      <w:proofErr w:type="spellStart"/>
      <w:r>
        <w:rPr>
          <w:lang w:eastAsia="ja-JP"/>
        </w:rPr>
        <w:t>modeling</w:t>
      </w:r>
      <w:proofErr w:type="spellEnd"/>
    </w:p>
    <w:p w:rsidR="00311735" w:rsidRDefault="00311735" w:rsidP="00311735">
      <w:pPr>
        <w:pStyle w:val="ListParagraph"/>
        <w:numPr>
          <w:ilvl w:val="1"/>
          <w:numId w:val="23"/>
        </w:numPr>
        <w:rPr>
          <w:lang w:eastAsia="ja-JP"/>
        </w:rPr>
      </w:pPr>
      <w:r>
        <w:rPr>
          <w:lang w:eastAsia="ja-JP"/>
        </w:rPr>
        <w:t>Review of link simulation results</w:t>
      </w:r>
    </w:p>
    <w:p w:rsidR="00311735" w:rsidRDefault="00311735" w:rsidP="00311735">
      <w:pPr>
        <w:pStyle w:val="ListParagraph"/>
        <w:numPr>
          <w:ilvl w:val="1"/>
          <w:numId w:val="23"/>
        </w:numPr>
        <w:rPr>
          <w:lang w:eastAsia="ja-JP"/>
        </w:rPr>
      </w:pPr>
      <w:r>
        <w:rPr>
          <w:lang w:eastAsia="ja-JP"/>
        </w:rPr>
        <w:t>Conclusion on CRS IM gain in synchronous homogeneous network deployments.</w:t>
      </w:r>
    </w:p>
    <w:p w:rsidR="00311735" w:rsidRDefault="00311735" w:rsidP="00311735">
      <w:pPr>
        <w:pStyle w:val="ListParagraph"/>
        <w:numPr>
          <w:ilvl w:val="1"/>
          <w:numId w:val="23"/>
        </w:numPr>
        <w:rPr>
          <w:lang w:eastAsia="ja-JP"/>
        </w:rPr>
      </w:pPr>
      <w:r>
        <w:rPr>
          <w:lang w:eastAsia="ja-JP"/>
        </w:rPr>
        <w:t>Finalize TR</w:t>
      </w:r>
    </w:p>
    <w:p w:rsidR="00BB5B52" w:rsidRDefault="00BB5B52" w:rsidP="00BB5B52">
      <w:pPr>
        <w:rPr>
          <w:lang w:eastAsia="ja-JP"/>
        </w:rPr>
      </w:pPr>
      <w:r>
        <w:rPr>
          <w:lang w:eastAsia="ja-JP"/>
        </w:rPr>
        <w:t xml:space="preserve">In this study, </w:t>
      </w:r>
      <w:r w:rsidRPr="00E440F0">
        <w:rPr>
          <w:rFonts w:hint="eastAsia"/>
          <w:lang w:eastAsia="ja-JP"/>
        </w:rPr>
        <w:t>LTE</w:t>
      </w:r>
      <w:r w:rsidRPr="00E440F0">
        <w:t xml:space="preserve"> throughput estimates are developed using link level simulations, which include the other-cell interference</w:t>
      </w:r>
      <w:r w:rsidRPr="00E440F0">
        <w:rPr>
          <w:rFonts w:hint="eastAsia"/>
          <w:lang w:eastAsia="ja-JP"/>
        </w:rPr>
        <w:t>. I</w:t>
      </w:r>
      <w:r w:rsidRPr="00E440F0">
        <w:t xml:space="preserve">n addition, system level performance is assessed to determine the gains that </w:t>
      </w:r>
      <w:r>
        <w:t xml:space="preserve">CRS-IM </w:t>
      </w:r>
      <w:r w:rsidRPr="00E440F0">
        <w:t>receiver might provide in throughput and coverage.</w:t>
      </w:r>
      <w:r w:rsidR="008F4EBE">
        <w:t xml:space="preserve"> In order to get LTE throughput estimates using link level, the study item will developed models for this interference in terms of their powers relative to the total other cell interference power, and their resource allocation according to </w:t>
      </w:r>
      <w:r w:rsidR="008F4EBE" w:rsidRPr="008F0FA3">
        <w:rPr>
          <w:rFonts w:hint="eastAsia"/>
        </w:rPr>
        <w:t>traffic loading levels</w:t>
      </w:r>
      <w:r w:rsidR="008F4EBE">
        <w:t xml:space="preserve">. System level simulation will provide input for these models, such as the relative value of the interference and time offset/frequency offset, etc. </w:t>
      </w:r>
      <w:r w:rsidRPr="00E440F0">
        <w:t>Complexity issues associated with implementing these types of receivers are also discussed.</w:t>
      </w:r>
    </w:p>
    <w:p w:rsidR="00CE10C4" w:rsidRDefault="00CE10C4" w:rsidP="00CE10C4">
      <w:pPr>
        <w:pStyle w:val="Heading1"/>
        <w:rPr>
          <w:lang w:eastAsia="ja-JP"/>
        </w:rPr>
      </w:pPr>
      <w:r w:rsidRPr="00CE10C4">
        <w:rPr>
          <w:lang w:eastAsia="ja-JP"/>
        </w:rPr>
        <w:lastRenderedPageBreak/>
        <w:t>Simulation assumptions for interference modelling</w:t>
      </w:r>
    </w:p>
    <w:p w:rsidR="00CE10C4" w:rsidRDefault="00CE10C4" w:rsidP="00CE10C4">
      <w:pPr>
        <w:pStyle w:val="Heading2"/>
        <w:rPr>
          <w:lang w:eastAsia="ja-JP"/>
        </w:rPr>
      </w:pPr>
      <w:r w:rsidRPr="00CE10C4">
        <w:rPr>
          <w:lang w:eastAsia="ja-JP"/>
        </w:rPr>
        <w:t>Methodology to define interference power</w:t>
      </w:r>
    </w:p>
    <w:p w:rsidR="00CE10C4" w:rsidRDefault="00CE10C4" w:rsidP="00CE10C4">
      <w:pPr>
        <w:pStyle w:val="Heading3"/>
        <w:rPr>
          <w:lang w:eastAsia="ja-JP"/>
        </w:rPr>
      </w:pPr>
      <w:r w:rsidRPr="00CE10C4">
        <w:rPr>
          <w:lang w:eastAsia="ja-JP"/>
        </w:rPr>
        <w:t>Method 1</w:t>
      </w:r>
      <w:r w:rsidR="007B5E9C">
        <w:rPr>
          <w:lang w:eastAsia="ja-JP"/>
        </w:rPr>
        <w:t>: based on DIP</w:t>
      </w:r>
    </w:p>
    <w:p w:rsidR="00CE10C4" w:rsidRPr="00272BC6" w:rsidRDefault="00CE10C4" w:rsidP="00CE10C4">
      <w:pPr>
        <w:pStyle w:val="BodyText"/>
      </w:pPr>
      <w:r w:rsidRPr="005861D8">
        <w:t>In the investigations in HSDPA SI, the dominant interfere</w:t>
      </w:r>
      <w:r>
        <w:t>r</w:t>
      </w:r>
      <w:r w:rsidRPr="005861D8">
        <w:t xml:space="preserve"> proportion (DIP) was defined as a key parameter in order to define the interference </w:t>
      </w:r>
      <w:r>
        <w:rPr>
          <w:rFonts w:hint="eastAsia"/>
        </w:rPr>
        <w:t>power</w:t>
      </w:r>
      <w:r w:rsidRPr="005861D8">
        <w:t xml:space="preserve">. The inter-cell interference is categorized into two parts on </w:t>
      </w:r>
      <w:proofErr w:type="spellStart"/>
      <w:r w:rsidRPr="005861D8">
        <w:t>asynchronized</w:t>
      </w:r>
      <w:proofErr w:type="spellEnd"/>
      <w:r w:rsidRPr="005861D8">
        <w:t xml:space="preserve"> network. Therefore, the DIP was defined as the ratio of the power of a given interfering </w:t>
      </w:r>
      <w:proofErr w:type="spellStart"/>
      <w:r w:rsidRPr="005861D8">
        <w:t>eNodeBs</w:t>
      </w:r>
      <w:proofErr w:type="spellEnd"/>
      <w:r w:rsidRPr="005861D8">
        <w:t xml:space="preserve"> over the total other cell interference power. The DIP of synchronized, and </w:t>
      </w:r>
      <w:proofErr w:type="spellStart"/>
      <w:r w:rsidRPr="005861D8">
        <w:t>asynchronized</w:t>
      </w:r>
      <w:proofErr w:type="spellEnd"/>
      <w:r w:rsidRPr="005861D8">
        <w:t xml:space="preserve"> interference</w:t>
      </w:r>
      <w:proofErr w:type="gramStart"/>
      <w:r w:rsidRPr="005861D8">
        <w:t xml:space="preserve">, </w:t>
      </w:r>
      <w:proofErr w:type="gramEnd"/>
      <w:r w:rsidRPr="005861D8">
        <w:rPr>
          <w:position w:val="-8"/>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95pt" o:ole="" filled="t">
            <v:imagedata r:id="rId9" o:title=""/>
          </v:shape>
          <o:OLEObject Type="Embed" ProgID="Equation.3" ShapeID="_x0000_i1025" DrawAspect="Content" ObjectID="_1426964831" r:id="rId10"/>
        </w:object>
      </w:r>
      <w:r w:rsidRPr="005861D8">
        <w:t xml:space="preserve">, </w:t>
      </w:r>
      <w:r w:rsidRPr="005861D8">
        <w:rPr>
          <w:position w:val="-8"/>
        </w:rPr>
        <w:object w:dxaOrig="460" w:dyaOrig="300">
          <v:shape id="_x0000_i1026" type="#_x0000_t75" style="width:23.1pt;height:14.95pt" o:ole="" filled="t">
            <v:imagedata r:id="rId11" o:title=""/>
          </v:shape>
          <o:OLEObject Type="Embed" ProgID="Equation.3" ShapeID="_x0000_i1026" DrawAspect="Content" ObjectID="_1426964832" r:id="rId12"/>
        </w:object>
      </w:r>
      <w:r w:rsidRPr="005861D8">
        <w:t xml:space="preserve"> is expressed as follows</w:t>
      </w:r>
      <w:r w:rsidR="00AA2C39">
        <w:t xml:space="preserve"> [1]</w:t>
      </w:r>
      <w:r w:rsidRPr="005861D8">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9177"/>
        <w:gridCol w:w="678"/>
      </w:tblGrid>
      <w:tr w:rsidR="00CE10C4" w:rsidRPr="001C6E4E" w:rsidTr="007C7C87">
        <w:tc>
          <w:tcPr>
            <w:tcW w:w="9468" w:type="dxa"/>
            <w:shd w:val="clear" w:color="auto" w:fill="auto"/>
          </w:tcPr>
          <w:p w:rsidR="00CE10C4" w:rsidRPr="00E216AA" w:rsidRDefault="00CE10C4" w:rsidP="00CE10C4">
            <w:pPr>
              <w:pStyle w:val="H6"/>
              <w:numPr>
                <w:ilvl w:val="0"/>
                <w:numId w:val="0"/>
              </w:numPr>
              <w:ind w:left="1985"/>
              <w:jc w:val="center"/>
              <w:rPr>
                <w:rFonts w:cs="Arial"/>
              </w:rPr>
            </w:pPr>
            <w:r w:rsidRPr="0095031E">
              <w:rPr>
                <w:noProof/>
                <w:position w:val="-20"/>
                <w:lang w:val="en-US" w:eastAsia="zh-CN"/>
              </w:rPr>
              <w:drawing>
                <wp:inline distT="0" distB="0" distL="0" distR="0" wp14:anchorId="3A575FB1" wp14:editId="44FED5A7">
                  <wp:extent cx="955040" cy="5321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5040" cy="532130"/>
                          </a:xfrm>
                          <a:prstGeom prst="rect">
                            <a:avLst/>
                          </a:prstGeom>
                          <a:solidFill>
                            <a:srgbClr val="FFFFFF"/>
                          </a:solidFill>
                          <a:ln>
                            <a:noFill/>
                          </a:ln>
                        </pic:spPr>
                      </pic:pic>
                    </a:graphicData>
                  </a:graphic>
                </wp:inline>
              </w:drawing>
            </w:r>
            <w:r w:rsidRPr="00E440F0">
              <w:rPr>
                <w:rFonts w:hint="eastAsia"/>
              </w:rPr>
              <w:t xml:space="preserve">, </w:t>
            </w:r>
            <w:r w:rsidRPr="0095031E">
              <w:rPr>
                <w:noProof/>
                <w:position w:val="-20"/>
                <w:lang w:val="en-US" w:eastAsia="zh-CN"/>
              </w:rPr>
              <w:drawing>
                <wp:inline distT="0" distB="0" distL="0" distR="0" wp14:anchorId="7F574506" wp14:editId="520003D2">
                  <wp:extent cx="846455" cy="559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6455" cy="559435"/>
                          </a:xfrm>
                          <a:prstGeom prst="rect">
                            <a:avLst/>
                          </a:prstGeom>
                          <a:solidFill>
                            <a:srgbClr val="FFFFFF"/>
                          </a:solidFill>
                          <a:ln>
                            <a:noFill/>
                          </a:ln>
                        </pic:spPr>
                      </pic:pic>
                    </a:graphicData>
                  </a:graphic>
                </wp:inline>
              </w:drawing>
            </w:r>
          </w:p>
        </w:tc>
        <w:tc>
          <w:tcPr>
            <w:tcW w:w="702" w:type="dxa"/>
            <w:shd w:val="clear" w:color="auto" w:fill="auto"/>
            <w:vAlign w:val="center"/>
          </w:tcPr>
          <w:p w:rsidR="00CE10C4" w:rsidRPr="001C6E4E" w:rsidRDefault="00CE10C4" w:rsidP="00CE10C4">
            <w:pPr>
              <w:numPr>
                <w:ilvl w:val="0"/>
                <w:numId w:val="25"/>
              </w:numPr>
              <w:spacing w:line="276" w:lineRule="auto"/>
              <w:ind w:left="1418" w:right="220" w:hanging="284"/>
              <w:jc w:val="center"/>
              <w:rPr>
                <w:rFonts w:ascii="Arial" w:hAnsi="Arial" w:cs="Arial"/>
              </w:rPr>
            </w:pPr>
          </w:p>
        </w:tc>
      </w:tr>
    </w:tbl>
    <w:p w:rsidR="00CE10C4" w:rsidRPr="005861D8" w:rsidRDefault="00CE10C4" w:rsidP="00CE10C4">
      <w:pPr>
        <w:pStyle w:val="BodyText"/>
      </w:pPr>
      <w:proofErr w:type="gramStart"/>
      <w:r w:rsidRPr="005861D8">
        <w:t xml:space="preserve">where </w:t>
      </w:r>
      <w:proofErr w:type="gramEnd"/>
      <w:r w:rsidRPr="005861D8">
        <w:rPr>
          <w:position w:val="-12"/>
        </w:rPr>
        <w:object w:dxaOrig="340" w:dyaOrig="360">
          <v:shape id="_x0000_i1027" type="#_x0000_t75" style="width:17.65pt;height:17.65pt" o:ole="" filled="t">
            <v:imagedata r:id="rId15" o:title=""/>
          </v:shape>
          <o:OLEObject Type="Embed" ProgID="Equation.3" ShapeID="_x0000_i1027" DrawAspect="Content" ObjectID="_1426964833" r:id="rId16"/>
        </w:object>
      </w:r>
      <w:r w:rsidRPr="005861D8">
        <w:t xml:space="preserve">, </w:t>
      </w:r>
      <w:r w:rsidRPr="005861D8">
        <w:rPr>
          <w:position w:val="-12"/>
        </w:rPr>
        <w:object w:dxaOrig="340" w:dyaOrig="360">
          <v:shape id="_x0000_i1028" type="#_x0000_t75" style="width:17.65pt;height:17.65pt" o:ole="" filled="t">
            <v:imagedata r:id="rId17" o:title=""/>
          </v:shape>
          <o:OLEObject Type="Embed" ProgID="Equation.3" ShapeID="_x0000_i1028" DrawAspect="Content" ObjectID="_1426964834" r:id="rId18"/>
        </w:object>
      </w:r>
      <w:r w:rsidRPr="005861D8">
        <w:t xml:space="preserve">is the average received power from the </w:t>
      </w:r>
      <w:r w:rsidRPr="005861D8">
        <w:rPr>
          <w:i/>
        </w:rPr>
        <w:t>j</w:t>
      </w:r>
      <w:r w:rsidRPr="005861D8">
        <w:t>-</w:t>
      </w:r>
      <w:proofErr w:type="spellStart"/>
      <w:r w:rsidRPr="005861D8">
        <w:t>th</w:t>
      </w:r>
      <w:proofErr w:type="spellEnd"/>
      <w:r w:rsidRPr="005861D8">
        <w:t xml:space="preserve"> strongest </w:t>
      </w:r>
      <w:proofErr w:type="spellStart"/>
      <w:r w:rsidRPr="005861D8">
        <w:t>eNodeB</w:t>
      </w:r>
      <w:proofErr w:type="spellEnd"/>
      <w:r w:rsidRPr="005861D8">
        <w:t xml:space="preserve"> for synchronized, and </w:t>
      </w:r>
      <w:proofErr w:type="spellStart"/>
      <w:r w:rsidRPr="005861D8">
        <w:t>asynchronized</w:t>
      </w:r>
      <w:proofErr w:type="spellEnd"/>
      <w:r w:rsidRPr="005861D8">
        <w:t xml:space="preserve"> interference (</w:t>
      </w:r>
      <w:r w:rsidRPr="005861D8">
        <w:rPr>
          <w:position w:val="-12"/>
        </w:rPr>
        <w:object w:dxaOrig="320" w:dyaOrig="360">
          <v:shape id="_x0000_i1029" type="#_x0000_t75" style="width:15.6pt;height:17.65pt" o:ole="" filled="t">
            <v:imagedata r:id="rId19" o:title=""/>
          </v:shape>
          <o:OLEObject Type="Embed" ProgID="Equation.3" ShapeID="_x0000_i1029" DrawAspect="Content" ObjectID="_1426964835" r:id="rId20"/>
        </w:object>
      </w:r>
      <w:r w:rsidRPr="005861D8">
        <w:t xml:space="preserve"> implies serving cell), </w:t>
      </w:r>
      <w:proofErr w:type="spellStart"/>
      <w:r w:rsidRPr="005861D8">
        <w:rPr>
          <w:i/>
        </w:rPr>
        <w:t>I</w:t>
      </w:r>
      <w:r w:rsidRPr="005861D8">
        <w:rPr>
          <w:i/>
          <w:vertAlign w:val="subscript"/>
        </w:rPr>
        <w:t>oc</w:t>
      </w:r>
      <w:proofErr w:type="spellEnd"/>
      <w:r w:rsidR="00B54442">
        <w:t xml:space="preserve"> is defined as follows: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9175"/>
        <w:gridCol w:w="680"/>
      </w:tblGrid>
      <w:tr w:rsidR="00CE10C4" w:rsidRPr="001C6E4E" w:rsidTr="00B54442">
        <w:tc>
          <w:tcPr>
            <w:tcW w:w="9175" w:type="dxa"/>
            <w:shd w:val="clear" w:color="auto" w:fill="auto"/>
          </w:tcPr>
          <w:p w:rsidR="00CE10C4" w:rsidRPr="00E216AA" w:rsidRDefault="00CE10C4" w:rsidP="00CE10C4">
            <w:pPr>
              <w:ind w:left="1134"/>
              <w:jc w:val="center"/>
              <w:rPr>
                <w:rFonts w:ascii="Arial" w:hAnsi="Arial" w:cs="Arial"/>
              </w:rPr>
            </w:pPr>
            <w:r w:rsidRPr="001C6E4E">
              <w:rPr>
                <w:rFonts w:ascii="Arial" w:hAnsi="Arial" w:cs="Arial"/>
                <w:position w:val="-24"/>
              </w:rPr>
              <w:object w:dxaOrig="1640" w:dyaOrig="540">
                <v:shape id="_x0000_i1030" type="#_x0000_t75" style="width:89.65pt;height:29.9pt" o:ole="">
                  <v:imagedata r:id="rId21" o:title=""/>
                </v:shape>
                <o:OLEObject Type="Embed" ProgID="Equation.3" ShapeID="_x0000_i1030" DrawAspect="Content" ObjectID="_1426964836" r:id="rId22"/>
              </w:object>
            </w:r>
            <w:r w:rsidRPr="001C6E4E">
              <w:rPr>
                <w:rFonts w:ascii="Arial" w:hAnsi="Arial" w:cs="Arial"/>
              </w:rPr>
              <w:t>.</w:t>
            </w:r>
          </w:p>
        </w:tc>
        <w:tc>
          <w:tcPr>
            <w:tcW w:w="680" w:type="dxa"/>
            <w:shd w:val="clear" w:color="auto" w:fill="auto"/>
            <w:vAlign w:val="center"/>
          </w:tcPr>
          <w:p w:rsidR="00CE10C4" w:rsidRPr="001C6E4E" w:rsidRDefault="00CE10C4" w:rsidP="00CE10C4">
            <w:pPr>
              <w:numPr>
                <w:ilvl w:val="0"/>
                <w:numId w:val="25"/>
              </w:numPr>
              <w:spacing w:line="276" w:lineRule="auto"/>
              <w:ind w:left="1418" w:right="220" w:hanging="284"/>
              <w:jc w:val="right"/>
              <w:rPr>
                <w:rFonts w:ascii="Arial" w:hAnsi="Arial" w:cs="Arial"/>
              </w:rPr>
            </w:pPr>
          </w:p>
        </w:tc>
      </w:tr>
    </w:tbl>
    <w:p w:rsidR="00CE10C4" w:rsidRDefault="00B54442" w:rsidP="00CE10C4">
      <w:pPr>
        <w:pStyle w:val="BodyText"/>
      </w:pPr>
      <w:r w:rsidRPr="005861D8">
        <w:rPr>
          <w:i/>
        </w:rPr>
        <w:t>N</w:t>
      </w:r>
      <w:r w:rsidRPr="005861D8">
        <w:t xml:space="preserve"> is the thermal noise power over the received bandwidth,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the number of synchronization </w:t>
      </w:r>
      <w:proofErr w:type="spellStart"/>
      <w:r>
        <w:t>eNodeBs</w:t>
      </w:r>
      <w:proofErr w:type="spellEnd"/>
      <w:r>
        <w:t xml:space="preserve"> and </w:t>
      </w:r>
      <m:oMath>
        <m:sSub>
          <m:sSubPr>
            <m:ctrlPr>
              <w:rPr>
                <w:rFonts w:ascii="Cambria Math" w:hAnsi="Cambria Math"/>
                <w:i/>
              </w:rPr>
            </m:ctrlPr>
          </m:sSubPr>
          <m:e>
            <m:r>
              <w:rPr>
                <w:rFonts w:ascii="Cambria Math" w:hAnsi="Cambria Math"/>
              </w:rPr>
              <m:t>N</m:t>
            </m:r>
          </m:e>
          <m:sub>
            <m:r>
              <w:rPr>
                <w:rFonts w:ascii="Cambria Math" w:hAnsi="Cambria Math"/>
              </w:rPr>
              <m:t>a</m:t>
            </m:r>
          </m:sub>
        </m:sSub>
      </m:oMath>
      <w:r>
        <w:t xml:space="preserve"> is the number of </w:t>
      </w:r>
      <w:proofErr w:type="spellStart"/>
      <w:r>
        <w:t>asynchronization</w:t>
      </w:r>
      <w:proofErr w:type="spellEnd"/>
      <w:r>
        <w:t xml:space="preserve"> </w:t>
      </w:r>
      <w:proofErr w:type="spellStart"/>
      <w:r>
        <w:t>eNodeBs</w:t>
      </w:r>
      <w:proofErr w:type="spellEnd"/>
      <w:r>
        <w:t xml:space="preserve">. </w:t>
      </w:r>
      <w:r w:rsidR="00CE10C4" w:rsidRPr="005861D8">
        <w:t>Note that power from the serving cell</w:t>
      </w:r>
      <w:proofErr w:type="gramStart"/>
      <w:r w:rsidR="00CE10C4" w:rsidRPr="005861D8">
        <w:t xml:space="preserve">, </w:t>
      </w:r>
      <w:proofErr w:type="gramEnd"/>
      <w:r w:rsidR="00CE10C4" w:rsidRPr="005861D8">
        <w:rPr>
          <w:position w:val="-12"/>
        </w:rPr>
        <w:object w:dxaOrig="320" w:dyaOrig="360">
          <v:shape id="_x0000_i1031" type="#_x0000_t75" style="width:15.6pt;height:17.65pt" o:ole="" filled="t">
            <v:imagedata r:id="rId19" o:title=""/>
          </v:shape>
          <o:OLEObject Type="Embed" ProgID="Equation.3" ShapeID="_x0000_i1031" DrawAspect="Content" ObjectID="_1426964837" r:id="rId23"/>
        </w:object>
      </w:r>
      <w:r w:rsidR="00CE10C4" w:rsidRPr="005861D8">
        <w:t>, is never included in any DIP calculation.</w:t>
      </w:r>
      <w:r w:rsidR="00CE10C4" w:rsidRPr="00CE09B2">
        <w:rPr>
          <w:rFonts w:hint="eastAsia"/>
        </w:rPr>
        <w:t xml:space="preserve"> </w:t>
      </w:r>
      <w:r w:rsidR="00CE10C4">
        <w:rPr>
          <w:rFonts w:hint="eastAsia"/>
        </w:rPr>
        <w:t>The low geometries such as 0 dB and -3 dB cases should be evaluated for Rank-1 transmission.</w:t>
      </w:r>
    </w:p>
    <w:p w:rsidR="007B5E9C" w:rsidRDefault="007B5E9C" w:rsidP="00CE10C4">
      <w:pPr>
        <w:pStyle w:val="BodyText"/>
      </w:pPr>
    </w:p>
    <w:p w:rsidR="007B5E9C" w:rsidRDefault="002045FD" w:rsidP="007B5E9C">
      <w:pPr>
        <w:pStyle w:val="Heading3"/>
      </w:pPr>
      <w:r>
        <w:t xml:space="preserve">Method 2: </w:t>
      </w:r>
      <w:r w:rsidR="007B5E9C">
        <w:t>Based on INR</w:t>
      </w:r>
    </w:p>
    <w:p w:rsidR="007B5E9C" w:rsidRDefault="007B5E9C" w:rsidP="007B5E9C">
      <w:r>
        <w:rPr>
          <w:rFonts w:hint="eastAsia"/>
        </w:rPr>
        <w:t xml:space="preserve">In the investigations in </w:t>
      </w:r>
      <w:proofErr w:type="spellStart"/>
      <w:r>
        <w:rPr>
          <w:rFonts w:hint="eastAsia"/>
        </w:rPr>
        <w:t>FeICIC</w:t>
      </w:r>
      <w:proofErr w:type="spellEnd"/>
      <w:r>
        <w:rPr>
          <w:rFonts w:hint="eastAsia"/>
        </w:rPr>
        <w:t xml:space="preserve"> WI, the dominant </w:t>
      </w:r>
      <w:r>
        <w:t>interference</w:t>
      </w:r>
      <w:r>
        <w:rPr>
          <w:rFonts w:hint="eastAsia"/>
        </w:rPr>
        <w:t xml:space="preserve"> over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oc</m:t>
            </m:r>
          </m:sub>
        </m:sSub>
      </m:oMath>
      <w:r>
        <w:rPr>
          <w:rFonts w:hint="eastAsia"/>
        </w:rPr>
        <w:t xml:space="preserve"> (INR) was defined as a key parameter in order to define the interference power.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oc</m:t>
            </m:r>
          </m:sub>
        </m:sSub>
      </m:oMath>
      <w:r>
        <w:rPr>
          <w:rFonts w:hint="eastAsia"/>
        </w:rPr>
        <w:t xml:space="preserve"> </w:t>
      </w:r>
      <w:proofErr w:type="gramStart"/>
      <w:r>
        <w:t>is</w:t>
      </w:r>
      <w:proofErr w:type="gramEnd"/>
      <w:r>
        <w:t xml:space="preserve"> </w:t>
      </w:r>
      <w:r>
        <w:rPr>
          <w:rFonts w:hint="eastAsia"/>
        </w:rPr>
        <w:t xml:space="preserve">the </w:t>
      </w:r>
      <w:r>
        <w:t xml:space="preserve">interference from all cells that </w:t>
      </w:r>
      <w:r>
        <w:rPr>
          <w:rFonts w:hint="eastAsia"/>
        </w:rPr>
        <w:t>don</w:t>
      </w:r>
      <w:r>
        <w:t>’</w:t>
      </w:r>
      <w:r>
        <w:rPr>
          <w:rFonts w:hint="eastAsia"/>
        </w:rPr>
        <w:t>t</w:t>
      </w:r>
      <w:r>
        <w:t xml:space="preserve"> include</w:t>
      </w:r>
      <w:r>
        <w:rPr>
          <w:rFonts w:hint="eastAsia"/>
        </w:rPr>
        <w:t xml:space="preserve"> the </w:t>
      </w:r>
      <w:r w:rsidR="00DB0941">
        <w:t>mitigated</w:t>
      </w:r>
      <w:r>
        <w:rPr>
          <w:rFonts w:hint="eastAsia"/>
        </w:rPr>
        <w:t xml:space="preserve"> dominant </w:t>
      </w:r>
      <w:r>
        <w:t>interfere</w:t>
      </w:r>
      <w:r>
        <w:rPr>
          <w:rFonts w:hint="eastAsia"/>
        </w:rPr>
        <w:t xml:space="preserve"> cell(s).</w:t>
      </w:r>
    </w:p>
    <w:p w:rsidR="007B5E9C" w:rsidRPr="0095031E" w:rsidRDefault="007B5E9C" w:rsidP="007B5E9C">
      <w:pPr>
        <w:jc w:val="center"/>
        <w:rPr>
          <w:rFonts w:ascii="Century" w:hAnsi="Century"/>
          <w:kern w:val="2"/>
          <w:sz w:val="21"/>
          <w:szCs w:val="24"/>
        </w:rPr>
      </w:pPr>
      <m:oMathPara>
        <m:oMath>
          <m:r>
            <w:rPr>
              <w:rFonts w:ascii="Cambria Math" w:hAnsi="Cambria Math"/>
            </w:rPr>
            <m:t>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i</m:t>
                  </m:r>
                </m:sup>
              </m:sSubSup>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m:oMathPara>
    </w:p>
    <w:p w:rsidR="007B5E9C" w:rsidRDefault="007B5E9C" w:rsidP="007B5E9C">
      <w:pPr>
        <w:rPr>
          <w:rFonts w:ascii="Arial" w:hAnsi="Arial" w:cs="Arial"/>
        </w:rPr>
      </w:pPr>
      <w:proofErr w:type="gramStart"/>
      <w:r>
        <w:rPr>
          <w:rFonts w:ascii="Arial" w:hAnsi="Arial" w:cs="Arial"/>
        </w:rPr>
        <w:t>where</w:t>
      </w:r>
      <w:proofErr w:type="gramEnd"/>
      <w:r>
        <w:rPr>
          <w:rFonts w:ascii="Arial" w:hAnsi="Arial" w:cs="Arial" w:hint="eastAsia"/>
        </w:rPr>
        <w:t xml:space="preserve"> </w:t>
      </w:r>
    </w:p>
    <w:p w:rsidR="007B5E9C" w:rsidRPr="00084CC2" w:rsidRDefault="00113CDF" w:rsidP="007B5E9C">
      <w:pPr>
        <w:rPr>
          <w:rFonts w:ascii="Arial" w:hAnsi="Arial" w:cs="Arial"/>
        </w:rPr>
      </w:pPr>
      <m:oMathPara>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oc</m:t>
              </m:r>
            </m:sub>
          </m:sSub>
          <m:r>
            <w:rPr>
              <w:rFonts w:ascii="Cambria Math" w:hAnsi="Cambria Math" w:cs="Arial"/>
            </w:rPr>
            <m:t>=</m:t>
          </m:r>
          <m:nary>
            <m:naryPr>
              <m:chr m:val="∑"/>
              <m:ctrlPr>
                <w:rPr>
                  <w:rFonts w:ascii="Cambria Math" w:hAnsi="Cambria Math" w:cs="Arial"/>
                  <w:i/>
                </w:rPr>
              </m:ctrlPr>
            </m:naryPr>
            <m:sub>
              <m:r>
                <w:rPr>
                  <w:rFonts w:ascii="Cambria Math" w:hAnsi="Cambria Math" w:cs="Arial"/>
                </w:rPr>
                <m:t>M+1</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BS</m:t>
                  </m:r>
                </m:sub>
              </m:sSub>
            </m:sup>
            <m:e>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I</m:t>
                      </m:r>
                    </m:e>
                  </m:acc>
                </m:e>
                <m:sub>
                  <m:r>
                    <w:rPr>
                      <w:rFonts w:ascii="Cambria Math" w:hAnsi="Cambria Math" w:cs="Arial"/>
                    </w:rPr>
                    <m:t>orj</m:t>
                  </m:r>
                </m:sub>
              </m:sSub>
            </m:e>
          </m:nary>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σ</m:t>
              </m:r>
            </m:e>
            <m:sup>
              <m:r>
                <m:rPr>
                  <m:sty m:val="p"/>
                </m:rPr>
                <w:rPr>
                  <w:rFonts w:ascii="Cambria Math" w:hAnsi="Cambria Math" w:cs="Arial"/>
                </w:rPr>
                <m:t>2</m:t>
              </m:r>
            </m:sup>
          </m:sSup>
        </m:oMath>
      </m:oMathPara>
    </w:p>
    <w:p w:rsidR="007B5E9C" w:rsidRDefault="00113CDF" w:rsidP="007B5E9C">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oMath>
      <w:r w:rsidR="007B5E9C">
        <w:rPr>
          <w:rFonts w:hint="eastAsia"/>
        </w:rPr>
        <w:t xml:space="preserve"> </w:t>
      </w:r>
      <w:r w:rsidR="007B5E9C" w:rsidRPr="00E440F0">
        <w:t xml:space="preserve">is the average received power from the </w:t>
      </w:r>
      <w:r w:rsidR="007B5E9C" w:rsidRPr="00E440F0">
        <w:rPr>
          <w:i/>
        </w:rPr>
        <w:t>j-</w:t>
      </w:r>
      <w:proofErr w:type="spellStart"/>
      <w:r w:rsidR="007B5E9C" w:rsidRPr="00E440F0">
        <w:t>th</w:t>
      </w:r>
      <w:proofErr w:type="spellEnd"/>
      <w:r w:rsidR="007B5E9C" w:rsidRPr="00E440F0">
        <w:t xml:space="preserve"> strongest</w:t>
      </w:r>
      <w:r w:rsidR="007B5E9C">
        <w:t xml:space="preserve"> interfere </w:t>
      </w:r>
      <w:r w:rsidR="007B5E9C" w:rsidRPr="00E440F0">
        <w:t xml:space="preserve">base station </w:t>
      </w:r>
      <w:r w:rsidR="007B5E9C">
        <w:rPr>
          <w:rFonts w:hint="eastAsia"/>
        </w:rPr>
        <w:t xml:space="preserve">measured on serving cell CRS </w:t>
      </w:r>
      <w:proofErr w:type="spellStart"/>
      <w:r w:rsidR="007B5E9C">
        <w:rPr>
          <w:rFonts w:hint="eastAsia"/>
        </w:rPr>
        <w:t>REs.</w:t>
      </w:r>
      <w:proofErr w:type="spellEnd"/>
      <w:r w:rsidR="007B5E9C">
        <w:rPr>
          <w:rFonts w:hint="eastAsia"/>
        </w:rPr>
        <w:t xml:space="preserve"> </w:t>
      </w:r>
      <w:r w:rsidR="007B5E9C" w:rsidRPr="00E440F0">
        <w:rPr>
          <w:position w:val="-6"/>
        </w:rPr>
        <w:object w:dxaOrig="320" w:dyaOrig="320">
          <v:shape id="_x0000_i1032" type="#_x0000_t75" style="width:15.6pt;height:15.6pt" o:ole="">
            <v:imagedata r:id="rId24" o:title=""/>
          </v:shape>
          <o:OLEObject Type="Embed" ProgID="Equation.3" ShapeID="_x0000_i1032" DrawAspect="Content" ObjectID="_1426964838" r:id="rId25"/>
        </w:object>
      </w:r>
      <w:r w:rsidR="007B5E9C" w:rsidRPr="00E440F0">
        <w:t>is the thermal noise power over the received bandwidth, and N</w:t>
      </w:r>
      <w:r w:rsidR="007B5E9C" w:rsidRPr="00E440F0">
        <w:rPr>
          <w:vertAlign w:val="subscript"/>
        </w:rPr>
        <w:t>BS</w:t>
      </w:r>
      <w:r w:rsidR="007B5E9C" w:rsidRPr="00E440F0">
        <w:t xml:space="preserve"> is the total number of base stations considered including the serving cell</w:t>
      </w:r>
      <w:r w:rsidR="007B5E9C">
        <w:rPr>
          <w:rFonts w:hint="eastAsia"/>
        </w:rPr>
        <w:t>,</w:t>
      </w:r>
      <w:r w:rsidR="007B5E9C">
        <w:t xml:space="preserve"> </w:t>
      </w:r>
      <m:oMath>
        <m:r>
          <w:rPr>
            <w:rFonts w:ascii="Cambria Math" w:hAnsi="Cambria Math"/>
          </w:rPr>
          <m:t>M</m:t>
        </m:r>
      </m:oMath>
      <w:r w:rsidR="007B5E9C">
        <w:t xml:space="preserve"> is the number of dominant interfere cell(s) which can be mitigated by UE.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i</m:t>
            </m:r>
          </m:sup>
        </m:sSubSup>
        <m:r>
          <w:rPr>
            <w:rFonts w:ascii="Cambria Math" w:hAnsi="Cambria Math"/>
          </w:rPr>
          <m:t>(i=1,⋯,M)</m:t>
        </m:r>
      </m:oMath>
      <w:r w:rsidR="007B5E9C">
        <w:t xml:space="preserve">  </w:t>
      </w:r>
      <w:proofErr w:type="gramStart"/>
      <w:r w:rsidR="007B5E9C">
        <w:t>is</w:t>
      </w:r>
      <w:proofErr w:type="gramEnd"/>
      <w:r w:rsidR="007B5E9C">
        <w:t xml:space="preserve"> the average CRS received power from the </w:t>
      </w:r>
      <m:oMath>
        <m:r>
          <w:rPr>
            <w:rFonts w:ascii="Cambria Math" w:hAnsi="Cambria Math"/>
          </w:rPr>
          <m:t>i</m:t>
        </m:r>
        <m:r>
          <m:rPr>
            <m:nor/>
          </m:rPr>
          <w:rPr>
            <w:rFonts w:ascii="Cambria Math" w:hAnsi="Cambria Math"/>
          </w:rPr>
          <m:t>-th</m:t>
        </m:r>
      </m:oMath>
      <w:r w:rsidR="007B5E9C">
        <w:t xml:space="preserve"> strongest interfere base station. The serving cell SNR can be defined as </w:t>
      </w:r>
    </w:p>
    <w:p w:rsidR="007B5E9C" w:rsidRPr="0095031E" w:rsidRDefault="007B5E9C" w:rsidP="007B5E9C">
      <w:pPr>
        <w:rPr>
          <w:rFonts w:ascii="Arial" w:hAnsi="Arial" w:cs="Arial"/>
          <w:color w:val="FF0000"/>
        </w:rPr>
      </w:pPr>
      <m:oMathPara>
        <m:oMathParaPr>
          <m:jc m:val="center"/>
        </m:oMathParaPr>
        <m:oMath>
          <m:r>
            <w:rPr>
              <w:rFonts w:ascii="Cambria Math" w:hAnsi="Cambria Math" w:cs="Arial"/>
            </w:rPr>
            <m:t>SNR=</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m:t>
                  </m:r>
                </m:e>
                <m:sub>
                  <m:r>
                    <w:rPr>
                      <w:rFonts w:ascii="Cambria Math" w:hAnsi="Cambria Math" w:cs="Arial"/>
                    </w:rPr>
                    <m:t>s</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oc</m:t>
                  </m:r>
                </m:sub>
              </m:sSub>
            </m:den>
          </m:f>
        </m:oMath>
      </m:oMathPara>
    </w:p>
    <w:p w:rsidR="007B5E9C" w:rsidRPr="00E440F0" w:rsidRDefault="007B5E9C" w:rsidP="007B5E9C">
      <w:proofErr w:type="gramStart"/>
      <w:r>
        <w:t>where</w:t>
      </w:r>
      <w:proofErr w:type="gramEnd"/>
      <w:r>
        <w:t xml:space="preserv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is the average CRS received power from the serving cell. </w:t>
      </w:r>
    </w:p>
    <w:p w:rsidR="007B5E9C" w:rsidRDefault="007B5E9C" w:rsidP="007B5E9C"/>
    <w:p w:rsidR="00185AD2" w:rsidRDefault="00185AD2" w:rsidP="007B5E9C">
      <w:r>
        <w:lastRenderedPageBreak/>
        <w:t xml:space="preserve">To decide the </w:t>
      </w:r>
      <m:oMath>
        <m:r>
          <w:rPr>
            <w:rFonts w:ascii="Cambria Math" w:hAnsi="Cambria Math"/>
          </w:rPr>
          <m:t>IN</m:t>
        </m:r>
        <m:sSub>
          <m:sSubPr>
            <m:ctrlPr>
              <w:rPr>
                <w:rFonts w:ascii="Cambria Math" w:hAnsi="Cambria Math"/>
                <w:i/>
              </w:rPr>
            </m:ctrlPr>
          </m:sSubPr>
          <m:e>
            <m:r>
              <w:rPr>
                <w:rFonts w:ascii="Cambria Math" w:hAnsi="Cambria Math"/>
              </w:rPr>
              <m:t>R</m:t>
            </m:r>
          </m:e>
          <m:sub>
            <m:r>
              <w:rPr>
                <w:rFonts w:ascii="Cambria Math" w:hAnsi="Cambria Math"/>
              </w:rPr>
              <m:t>1</m:t>
            </m:r>
          </m:sub>
        </m:sSub>
      </m:oMath>
      <w:r>
        <w:t xml:space="preserve"> </w:t>
      </w:r>
      <w:proofErr w:type="gramStart"/>
      <w:r>
        <w:t xml:space="preserve">and </w:t>
      </w:r>
      <w:proofErr w:type="gramEnd"/>
      <m:oMath>
        <m:r>
          <w:rPr>
            <w:rFonts w:ascii="Cambria Math" w:hAnsi="Cambria Math"/>
          </w:rPr>
          <m:t>IN</m:t>
        </m:r>
        <m:sSub>
          <m:sSubPr>
            <m:ctrlPr>
              <w:rPr>
                <w:rFonts w:ascii="Cambria Math" w:hAnsi="Cambria Math"/>
                <w:i/>
              </w:rPr>
            </m:ctrlPr>
          </m:sSubPr>
          <m:e>
            <m:r>
              <w:rPr>
                <w:rFonts w:ascii="Cambria Math" w:hAnsi="Cambria Math"/>
              </w:rPr>
              <m:t>R</m:t>
            </m:r>
          </m:e>
          <m:sub>
            <m:r>
              <w:rPr>
                <w:rFonts w:ascii="Cambria Math" w:hAnsi="Cambria Math"/>
              </w:rPr>
              <m:t>2</m:t>
            </m:r>
          </m:sub>
        </m:sSub>
      </m:oMath>
      <w:r>
        <w:t xml:space="preserve">, one simply way is </w:t>
      </w:r>
      <w:r w:rsidR="00177B22">
        <w:t xml:space="preserve">just </w:t>
      </w:r>
      <w:r>
        <w:t xml:space="preserve">to reuse the methodology in </w:t>
      </w:r>
      <w:proofErr w:type="spellStart"/>
      <w:r>
        <w:t>FeICIC</w:t>
      </w:r>
      <w:proofErr w:type="spellEnd"/>
      <w:r>
        <w:t xml:space="preserve">, but the problem is it is difficult to get agreement on which percentage tile shall be used for the gain evaluation. Further, in </w:t>
      </w:r>
      <w:proofErr w:type="spellStart"/>
      <w:r>
        <w:t>FeICIC</w:t>
      </w:r>
      <w:proofErr w:type="spellEnd"/>
      <w:r>
        <w:t>, only one set interference level is used for performance evaluation, it may be fine for WI, but for study item, it is better to show the whole picture for the CRS-IM gain. In advanced receiver discussion [1], interference profiles based on weighted average throughput gain is well documented and can be reused here. This method develops multiple sets of DIP ratios, the resulting throughput gains of which are averaged to find an average throughput gain. Similarly, we can develop multiple sets of INR ratio, the resulting throughput gains of which are average to find an average throughput gain. The detail step for DIP is given in [3]</w:t>
      </w:r>
      <w:r w:rsidR="006E2084">
        <w:t xml:space="preserve"> [4]</w:t>
      </w:r>
      <w:r>
        <w:t>, we modify it into the following steps:</w:t>
      </w:r>
    </w:p>
    <w:p w:rsidR="000D2847" w:rsidRDefault="000D2847" w:rsidP="007B5E9C">
      <w:pPr>
        <w:numPr>
          <w:ilvl w:val="0"/>
          <w:numId w:val="26"/>
        </w:numPr>
        <w:overflowPunct/>
        <w:autoSpaceDE/>
        <w:autoSpaceDN/>
        <w:adjustRightInd/>
        <w:spacing w:after="0"/>
        <w:textAlignment w:val="auto"/>
      </w:pPr>
      <w:r>
        <w:t>Given SNR. (</w:t>
      </w:r>
      <w:r w:rsidRPr="0068629B">
        <w:rPr>
          <w:i/>
        </w:rPr>
        <w:t>Note: The</w:t>
      </w:r>
      <w:r w:rsidR="00D07372">
        <w:rPr>
          <w:i/>
        </w:rPr>
        <w:t xml:space="preserve"> way to decide SNR can reuse similar</w:t>
      </w:r>
      <w:r w:rsidRPr="0068629B">
        <w:rPr>
          <w:i/>
        </w:rPr>
        <w:t xml:space="preserve"> way </w:t>
      </w:r>
      <w:r w:rsidR="00D07372">
        <w:rPr>
          <w:i/>
        </w:rPr>
        <w:t xml:space="preserve">as </w:t>
      </w:r>
      <w:r w:rsidRPr="0068629B">
        <w:rPr>
          <w:i/>
        </w:rPr>
        <w:t>define geometry used in advanced receiver discussion [1]</w:t>
      </w:r>
      <w:r>
        <w:t xml:space="preserve">). </w:t>
      </w:r>
    </w:p>
    <w:p w:rsidR="007B5E9C" w:rsidRDefault="007B5E9C" w:rsidP="007B5E9C">
      <w:pPr>
        <w:numPr>
          <w:ilvl w:val="0"/>
          <w:numId w:val="26"/>
        </w:numPr>
        <w:overflowPunct/>
        <w:autoSpaceDE/>
        <w:autoSpaceDN/>
        <w:adjustRightInd/>
        <w:spacing w:after="0"/>
        <w:textAlignment w:val="auto"/>
      </w:pPr>
      <w:r>
        <w:t xml:space="preserve">From a sample of randomly dropped UEs, we selected those with SNR close to the specified condition with a tolerance of ±0.2 </w:t>
      </w:r>
      <w:proofErr w:type="spellStart"/>
      <w:r>
        <w:t>dB.</w:t>
      </w:r>
      <w:proofErr w:type="spellEnd"/>
      <w:r>
        <w:t xml:space="preserve"> The INR values were logged for those UEs, and multiple realizations were performed in order to obtain a significant number of samples. </w:t>
      </w:r>
    </w:p>
    <w:p w:rsidR="007B5E9C" w:rsidRDefault="007B5E9C" w:rsidP="007B5E9C">
      <w:pPr>
        <w:numPr>
          <w:ilvl w:val="0"/>
          <w:numId w:val="26"/>
        </w:numPr>
        <w:overflowPunct/>
        <w:autoSpaceDE/>
        <w:autoSpaceDN/>
        <w:adjustRightInd/>
        <w:spacing w:after="0"/>
        <w:jc w:val="left"/>
        <w:textAlignment w:val="auto"/>
      </w:pPr>
      <w:r w:rsidRPr="0035565A">
        <w:t xml:space="preserve">After saving the conditioned </w:t>
      </w:r>
      <w:r>
        <w:t xml:space="preserve">INR </w:t>
      </w:r>
      <w:r w:rsidRPr="0035565A">
        <w:t xml:space="preserve">values from all samples, the </w:t>
      </w:r>
      <w:r>
        <w:t xml:space="preserve">INR </w:t>
      </w:r>
      <w:r w:rsidRPr="0035565A">
        <w:t xml:space="preserve">values are sorted according to the first </w:t>
      </w:r>
      <w:r>
        <w:t xml:space="preserve">INR </w:t>
      </w:r>
      <w:r w:rsidRPr="0035565A">
        <w:t>(</w:t>
      </w:r>
      <m:oMath>
        <m:r>
          <w:rPr>
            <w:rFonts w:ascii="Cambria Math" w:hAnsi="Cambria Math"/>
          </w:rPr>
          <m:t>IN</m:t>
        </m:r>
        <m:sSub>
          <m:sSubPr>
            <m:ctrlPr>
              <w:rPr>
                <w:rFonts w:ascii="Cambria Math" w:hAnsi="Cambria Math"/>
                <w:i/>
              </w:rPr>
            </m:ctrlPr>
          </m:sSubPr>
          <m:e>
            <m:r>
              <w:rPr>
                <w:rFonts w:ascii="Cambria Math" w:hAnsi="Cambria Math"/>
              </w:rPr>
              <m:t>R</m:t>
            </m:r>
          </m:e>
          <m:sub>
            <m:r>
              <w:rPr>
                <w:rFonts w:ascii="Cambria Math" w:hAnsi="Cambria Math"/>
              </w:rPr>
              <m:t>1</m:t>
            </m:r>
          </m:sub>
        </m:sSub>
      </m:oMath>
      <w:r w:rsidRPr="0035565A">
        <w:t>) in ascending order</w:t>
      </w:r>
      <w:r>
        <w:t xml:space="preserve">, after this, the data set is </w:t>
      </w:r>
      <w:r w:rsidRPr="0035565A">
        <w:t xml:space="preserve">binned in 5-percentile bands. </w:t>
      </w:r>
    </w:p>
    <w:p w:rsidR="007B5E9C" w:rsidRDefault="007B5E9C" w:rsidP="007B5E9C">
      <w:pPr>
        <w:numPr>
          <w:ilvl w:val="0"/>
          <w:numId w:val="26"/>
        </w:numPr>
        <w:overflowPunct/>
        <w:autoSpaceDE/>
        <w:autoSpaceDN/>
        <w:adjustRightInd/>
        <w:spacing w:after="0"/>
        <w:textAlignment w:val="auto"/>
      </w:pPr>
      <w:r w:rsidRPr="0035565A">
        <w:t xml:space="preserve">A mean of </w:t>
      </w:r>
      <m:oMath>
        <m:r>
          <w:rPr>
            <w:rFonts w:ascii="Cambria Math" w:hAnsi="Cambria Math"/>
          </w:rPr>
          <m:t>IN</m:t>
        </m:r>
        <m:sSub>
          <m:sSubPr>
            <m:ctrlPr>
              <w:rPr>
                <w:rFonts w:ascii="Cambria Math" w:hAnsi="Cambria Math"/>
                <w:i/>
              </w:rPr>
            </m:ctrlPr>
          </m:sSubPr>
          <m:e>
            <m:r>
              <w:rPr>
                <w:rFonts w:ascii="Cambria Math" w:hAnsi="Cambria Math"/>
              </w:rPr>
              <m:t>R</m:t>
            </m:r>
          </m:e>
          <m:sub>
            <m:r>
              <w:rPr>
                <w:rFonts w:ascii="Cambria Math" w:hAnsi="Cambria Math"/>
              </w:rPr>
              <m:t>2</m:t>
            </m:r>
          </m:sub>
        </m:sSub>
      </m:oMath>
      <w:r>
        <w:t xml:space="preserve"> </w:t>
      </w:r>
      <w:r w:rsidRPr="0035565A">
        <w:t xml:space="preserve">inside a 5-percentile band is taken, yielding one characteristics </w:t>
      </w:r>
      <w:r>
        <w:t xml:space="preserve">INR </w:t>
      </w:r>
      <w:r w:rsidRPr="0035565A">
        <w:t xml:space="preserve">value per each 5-percentile. At the end of the process, 20 characteristic </w:t>
      </w:r>
      <w:r>
        <w:t xml:space="preserve">INR </w:t>
      </w:r>
      <w:r w:rsidRPr="0035565A">
        <w:t xml:space="preserve">values are obtained. In this example,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w:t>
      </w:r>
      <w:r w:rsidRPr="0035565A">
        <w:t xml:space="preserve">is also saved and processed together with the </w:t>
      </w:r>
      <w:r>
        <w:t>INR</w:t>
      </w:r>
      <w:r w:rsidRPr="0035565A">
        <w:t>s.</w:t>
      </w:r>
      <w:r w:rsidR="0068629B">
        <w:t xml:space="preserve"> (</w:t>
      </w:r>
      <w:r w:rsidR="0068629B" w:rsidRPr="0068629B">
        <w:rPr>
          <w:i/>
        </w:rPr>
        <w:t>Note: For each loading and one SNR, we can have one sheet for it.</w:t>
      </w:r>
      <w:r w:rsidR="0068629B">
        <w:t>)</w:t>
      </w:r>
    </w:p>
    <w:p w:rsidR="00DF163F" w:rsidRPr="0035565A" w:rsidRDefault="007B5E9C" w:rsidP="00DF163F">
      <w:pPr>
        <w:numPr>
          <w:ilvl w:val="0"/>
          <w:numId w:val="26"/>
        </w:numPr>
        <w:overflowPunct/>
        <w:autoSpaceDE/>
        <w:autoSpaceDN/>
        <w:adjustRightInd/>
        <w:spacing w:after="0"/>
        <w:textAlignment w:val="auto"/>
      </w:pPr>
      <w:r>
        <w:t>The next step will involve l</w:t>
      </w:r>
      <w:r w:rsidRPr="0035565A">
        <w:t xml:space="preserve">ink level simulations in order to </w:t>
      </w:r>
      <w:r>
        <w:t>map</w:t>
      </w:r>
      <w:r w:rsidRPr="0035565A">
        <w:t xml:space="preserve"> </w:t>
      </w:r>
      <w:r>
        <w:t>a</w:t>
      </w:r>
      <w:r w:rsidRPr="0035565A">
        <w:t xml:space="preserve"> link level throughput gain </w:t>
      </w:r>
      <w:r>
        <w:t>onto each INR</w:t>
      </w:r>
      <w:r w:rsidRPr="0035565A">
        <w:t xml:space="preserve"> set</w:t>
      </w:r>
      <w:r>
        <w:t xml:space="preserve">, </w:t>
      </w:r>
      <w:r w:rsidRPr="0035565A">
        <w:t>considering bot</w:t>
      </w:r>
      <w:r>
        <w:t>h baseline and studied receiver</w:t>
      </w:r>
      <w:r w:rsidRPr="0035565A">
        <w:t xml:space="preserve">. </w:t>
      </w:r>
    </w:p>
    <w:p w:rsidR="00A2271C" w:rsidRDefault="00A2271C" w:rsidP="00A2271C">
      <w:pPr>
        <w:pStyle w:val="Heading3"/>
        <w:numPr>
          <w:ilvl w:val="0"/>
          <w:numId w:val="0"/>
        </w:numPr>
        <w:ind w:left="720"/>
        <w:rPr>
          <w:lang w:eastAsia="ja-JP"/>
        </w:rPr>
      </w:pPr>
    </w:p>
    <w:p w:rsidR="00A2271C" w:rsidRDefault="00A2271C" w:rsidP="00A2271C">
      <w:pPr>
        <w:pStyle w:val="Heading3"/>
        <w:rPr>
          <w:lang w:eastAsia="ja-JP"/>
        </w:rPr>
      </w:pPr>
      <w:r>
        <w:rPr>
          <w:lang w:eastAsia="ja-JP"/>
        </w:rPr>
        <w:t>Discussion on method 1 and method 2</w:t>
      </w:r>
    </w:p>
    <w:p w:rsidR="004876E5" w:rsidRDefault="003F6902" w:rsidP="009C00F9">
      <w:r>
        <w:t xml:space="preserve">For method 1, it is more suitable for full load. For method 2, it is more suitable for partial load. For this study, the main focus is partial </w:t>
      </w:r>
      <w:r w:rsidR="009C00F9">
        <w:t xml:space="preserve">load. </w:t>
      </w:r>
      <w:r>
        <w:t xml:space="preserve"> </w:t>
      </w:r>
      <w:r w:rsidR="009C00F9">
        <w:t>H</w:t>
      </w:r>
      <w:r>
        <w:t xml:space="preserve">ence, it is better to use method 2 as the methodology to model the </w:t>
      </w:r>
      <w:r w:rsidR="00B71204">
        <w:t>i</w:t>
      </w:r>
      <w:r>
        <w:t xml:space="preserve">nterference. </w:t>
      </w:r>
    </w:p>
    <w:p w:rsidR="0036402C" w:rsidRDefault="00041DB9" w:rsidP="00041DB9">
      <w:pPr>
        <w:pStyle w:val="Heading2"/>
        <w:rPr>
          <w:lang w:eastAsia="ja-JP"/>
        </w:rPr>
      </w:pPr>
      <w:r>
        <w:rPr>
          <w:lang w:eastAsia="ja-JP"/>
        </w:rPr>
        <w:t>MCS selection</w:t>
      </w:r>
    </w:p>
    <w:p w:rsidR="00176A80" w:rsidRDefault="00176A80" w:rsidP="00176A80">
      <w:pPr>
        <w:rPr>
          <w:lang w:eastAsia="ja-JP"/>
        </w:rPr>
      </w:pPr>
      <w:r>
        <w:rPr>
          <w:lang w:eastAsia="ja-JP"/>
        </w:rPr>
        <w:t xml:space="preserve">In advanced receiver discussion, both fixed MCS and OLLA is used for MCS selection. In CRS-IM, the same methodology can be reused here. The gain can be based on fixed MCS and OLLA given SNR, </w:t>
      </w:r>
      <m:oMath>
        <m:r>
          <w:rPr>
            <w:rFonts w:ascii="Cambria Math" w:hAnsi="Cambria Math"/>
            <w:lang w:eastAsia="ja-JP"/>
          </w:rPr>
          <m:t>IN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1</m:t>
            </m:r>
          </m:sub>
        </m:sSub>
      </m:oMath>
      <w:r>
        <w:rPr>
          <w:lang w:eastAsia="ja-JP"/>
        </w:rPr>
        <w:t xml:space="preserve"> </w:t>
      </w:r>
      <w:proofErr w:type="gramStart"/>
      <w:r>
        <w:rPr>
          <w:lang w:eastAsia="ja-JP"/>
        </w:rPr>
        <w:t xml:space="preserve">and </w:t>
      </w:r>
      <w:proofErr w:type="gramEnd"/>
      <m:oMath>
        <m:r>
          <w:rPr>
            <w:rFonts w:ascii="Cambria Math" w:hAnsi="Cambria Math"/>
            <w:lang w:eastAsia="ja-JP"/>
          </w:rPr>
          <m:t>IN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2</m:t>
            </m:r>
          </m:sub>
        </m:sSub>
      </m:oMath>
      <w:r>
        <w:rPr>
          <w:lang w:eastAsia="ja-JP"/>
        </w:rPr>
        <w:t xml:space="preserve">. </w:t>
      </w:r>
    </w:p>
    <w:p w:rsidR="00176A80" w:rsidRDefault="00176A80" w:rsidP="00176A80">
      <w:pPr>
        <w:rPr>
          <w:lang w:eastAsia="ja-JP"/>
        </w:rPr>
      </w:pPr>
    </w:p>
    <w:p w:rsidR="00CE10C4" w:rsidRPr="0095031E" w:rsidRDefault="007B5E9C" w:rsidP="007B5E9C">
      <w:pPr>
        <w:pStyle w:val="Heading2"/>
      </w:pPr>
      <w:r>
        <w:t>System level parameters</w:t>
      </w:r>
    </w:p>
    <w:p w:rsidR="007B5E9C" w:rsidRPr="003B4680" w:rsidRDefault="007B5E9C" w:rsidP="007B5E9C">
      <w:pPr>
        <w:rPr>
          <w:rFonts w:ascii="Arial" w:hAnsi="Arial" w:cs="Arial"/>
        </w:rPr>
      </w:pPr>
      <w:r>
        <w:rPr>
          <w:rFonts w:ascii="Arial" w:hAnsi="Arial" w:cs="Arial"/>
        </w:rPr>
        <w:t xml:space="preserve">System level simulations should focus on homogeneous deployments in 3GPP case 1 scenario. </w:t>
      </w:r>
      <w:r>
        <w:rPr>
          <w:rFonts w:ascii="Arial" w:hAnsi="Arial" w:cs="Arial" w:hint="eastAsia"/>
        </w:rPr>
        <w:t xml:space="preserve">For traffic model, </w:t>
      </w:r>
      <w:r>
        <w:rPr>
          <w:rFonts w:ascii="Arial" w:hAnsi="Arial" w:cs="Arial"/>
        </w:rPr>
        <w:t>non-</w:t>
      </w:r>
      <w:r>
        <w:rPr>
          <w:rFonts w:ascii="Arial" w:hAnsi="Arial" w:cs="Arial" w:hint="eastAsia"/>
        </w:rPr>
        <w:t xml:space="preserve">full-buffer model </w:t>
      </w:r>
      <w:r>
        <w:rPr>
          <w:rFonts w:ascii="Arial" w:hAnsi="Arial" w:cs="Arial"/>
        </w:rPr>
        <w:t xml:space="preserve">(FTP-like) </w:t>
      </w:r>
      <w:r>
        <w:rPr>
          <w:rFonts w:ascii="Arial" w:hAnsi="Arial" w:cs="Arial" w:hint="eastAsia"/>
        </w:rPr>
        <w:t>are assumed as baseline</w:t>
      </w:r>
      <w:r>
        <w:rPr>
          <w:rFonts w:ascii="Arial" w:hAnsi="Arial" w:cs="Arial"/>
        </w:rPr>
        <w:t>.</w:t>
      </w:r>
      <w:r w:rsidR="00BE178E">
        <w:rPr>
          <w:rFonts w:ascii="Arial" w:hAnsi="Arial" w:cs="Arial"/>
        </w:rPr>
        <w:t xml:space="preserve"> </w:t>
      </w:r>
    </w:p>
    <w:p w:rsidR="007B5E9C" w:rsidRPr="005861D8" w:rsidRDefault="007B5E9C" w:rsidP="007B5E9C">
      <w:pPr>
        <w:rPr>
          <w:rFonts w:ascii="Arial" w:hAnsi="Arial" w:cs="Arial"/>
        </w:rPr>
      </w:pPr>
      <w:r>
        <w:rPr>
          <w:rFonts w:ascii="Arial" w:hAnsi="Arial" w:cs="Arial" w:hint="eastAsia"/>
        </w:rPr>
        <w:t>S</w:t>
      </w:r>
      <w:r w:rsidRPr="005861D8">
        <w:rPr>
          <w:rFonts w:ascii="Arial" w:hAnsi="Arial" w:cs="Arial"/>
        </w:rPr>
        <w:t xml:space="preserve">imulation assumptions for interference </w:t>
      </w:r>
      <w:r w:rsidR="000A74F5" w:rsidRPr="005861D8">
        <w:rPr>
          <w:rFonts w:ascii="Arial" w:hAnsi="Arial" w:cs="Arial"/>
        </w:rPr>
        <w:t>modelling</w:t>
      </w:r>
      <w:r w:rsidRPr="005861D8">
        <w:rPr>
          <w:rFonts w:ascii="Arial" w:hAnsi="Arial" w:cs="Arial"/>
        </w:rPr>
        <w:t xml:space="preserve"> are provided in</w:t>
      </w:r>
      <w:r w:rsidR="00A415D0">
        <w:rPr>
          <w:rFonts w:ascii="Arial" w:hAnsi="Arial" w:cs="Arial"/>
        </w:rPr>
        <w:t xml:space="preserve"> </w:t>
      </w:r>
      <w:r w:rsidR="00A415D0">
        <w:rPr>
          <w:rFonts w:ascii="Arial" w:hAnsi="Arial" w:cs="Arial"/>
        </w:rPr>
        <w:fldChar w:fldCharType="begin"/>
      </w:r>
      <w:r w:rsidR="00A415D0">
        <w:rPr>
          <w:rFonts w:ascii="Arial" w:hAnsi="Arial" w:cs="Arial"/>
        </w:rPr>
        <w:instrText xml:space="preserve"> REF _Ref352766024 \h </w:instrText>
      </w:r>
      <w:r w:rsidR="00A415D0">
        <w:rPr>
          <w:rFonts w:ascii="Arial" w:hAnsi="Arial" w:cs="Arial"/>
        </w:rPr>
      </w:r>
      <w:r w:rsidR="00A415D0">
        <w:rPr>
          <w:rFonts w:ascii="Arial" w:hAnsi="Arial" w:cs="Arial"/>
        </w:rPr>
        <w:fldChar w:fldCharType="separate"/>
      </w:r>
      <w:r w:rsidR="00433EB8" w:rsidRPr="005861D8">
        <w:rPr>
          <w:rFonts w:ascii="Arial" w:hAnsi="Arial" w:cs="Arial"/>
        </w:rPr>
        <w:t xml:space="preserve">Table </w:t>
      </w:r>
      <w:r w:rsidR="00433EB8">
        <w:rPr>
          <w:rFonts w:ascii="Arial" w:hAnsi="Arial" w:cs="Arial"/>
          <w:noProof/>
        </w:rPr>
        <w:t>3</w:t>
      </w:r>
      <w:r w:rsidR="00A415D0">
        <w:rPr>
          <w:rFonts w:ascii="Arial" w:hAnsi="Arial" w:cs="Arial"/>
        </w:rPr>
        <w:fldChar w:fldCharType="end"/>
      </w:r>
      <w:r w:rsidRPr="005861D8">
        <w:rPr>
          <w:rFonts w:ascii="Arial" w:hAnsi="Arial" w:cs="Arial"/>
        </w:rPr>
        <w:t>.</w:t>
      </w:r>
      <w:r w:rsidR="00BE178E">
        <w:rPr>
          <w:rFonts w:ascii="Arial" w:hAnsi="Arial" w:cs="Arial"/>
        </w:rPr>
        <w:t xml:space="preserve"> The simulation assumptions are fully reusing the simulation assumption defined for advanced receiver discussion [1]. One minor modification is change the full buffer in advanced receiver discussion to non-full-buffer. </w:t>
      </w:r>
    </w:p>
    <w:p w:rsidR="007B5E9C" w:rsidRPr="005861D8" w:rsidRDefault="007B5E9C" w:rsidP="007B5E9C">
      <w:pPr>
        <w:pStyle w:val="Caption"/>
        <w:rPr>
          <w:rFonts w:ascii="Arial" w:hAnsi="Arial" w:cs="Arial"/>
        </w:rPr>
      </w:pPr>
      <w:bookmarkStart w:id="5" w:name="_Ref352766024"/>
      <w:r w:rsidRPr="005861D8">
        <w:rPr>
          <w:rFonts w:ascii="Arial" w:hAnsi="Arial" w:cs="Arial"/>
        </w:rPr>
        <w:t xml:space="preserve">Table </w:t>
      </w:r>
      <w:r w:rsidRPr="005861D8">
        <w:rPr>
          <w:rFonts w:ascii="Arial" w:hAnsi="Arial" w:cs="Arial"/>
        </w:rPr>
        <w:fldChar w:fldCharType="begin"/>
      </w:r>
      <w:r w:rsidRPr="005861D8">
        <w:rPr>
          <w:rFonts w:ascii="Arial" w:hAnsi="Arial" w:cs="Arial"/>
        </w:rPr>
        <w:instrText xml:space="preserve"> SEQ Table \* ARABIC </w:instrText>
      </w:r>
      <w:r w:rsidRPr="005861D8">
        <w:rPr>
          <w:rFonts w:ascii="Arial" w:hAnsi="Arial" w:cs="Arial"/>
        </w:rPr>
        <w:fldChar w:fldCharType="separate"/>
      </w:r>
      <w:r w:rsidR="00433EB8">
        <w:rPr>
          <w:rFonts w:ascii="Arial" w:hAnsi="Arial" w:cs="Arial"/>
          <w:noProof/>
        </w:rPr>
        <w:t>3</w:t>
      </w:r>
      <w:r w:rsidRPr="005861D8">
        <w:rPr>
          <w:rFonts w:ascii="Arial" w:hAnsi="Arial" w:cs="Arial"/>
        </w:rPr>
        <w:fldChar w:fldCharType="end"/>
      </w:r>
      <w:bookmarkEnd w:id="5"/>
      <w:r w:rsidRPr="005861D8">
        <w:rPr>
          <w:rFonts w:ascii="Arial" w:hAnsi="Arial" w:cs="Arial"/>
        </w:rPr>
        <w:t xml:space="preserve">: Simulation assumptions for interference </w:t>
      </w:r>
      <w:r w:rsidR="009D0B78" w:rsidRPr="005861D8">
        <w:rPr>
          <w:rFonts w:ascii="Arial" w:hAnsi="Arial" w:cs="Arial"/>
        </w:rPr>
        <w:t>modelling</w:t>
      </w:r>
      <w:r w:rsidR="009D0B78">
        <w:rPr>
          <w:rFonts w:ascii="Arial" w:hAnsi="Arial" w:cs="Arial"/>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1895"/>
        <w:gridCol w:w="6558"/>
      </w:tblGrid>
      <w:tr w:rsidR="007B5E9C" w:rsidRPr="001C6E4E" w:rsidTr="007C7C87">
        <w:tc>
          <w:tcPr>
            <w:tcW w:w="3283" w:type="dxa"/>
            <w:gridSpan w:val="2"/>
            <w:shd w:val="clear" w:color="auto" w:fill="FFFF00"/>
          </w:tcPr>
          <w:p w:rsidR="007B5E9C" w:rsidRPr="001C6E4E" w:rsidRDefault="007B5E9C" w:rsidP="007C7C87">
            <w:pPr>
              <w:jc w:val="center"/>
              <w:rPr>
                <w:rFonts w:ascii="Arial" w:hAnsi="Arial" w:cs="Arial"/>
              </w:rPr>
            </w:pPr>
            <w:r w:rsidRPr="001C6E4E">
              <w:rPr>
                <w:rFonts w:ascii="Arial" w:hAnsi="Arial" w:cs="Arial"/>
              </w:rPr>
              <w:t>Parameter</w:t>
            </w:r>
          </w:p>
        </w:tc>
        <w:tc>
          <w:tcPr>
            <w:tcW w:w="6558" w:type="dxa"/>
            <w:shd w:val="clear" w:color="auto" w:fill="FFFF00"/>
          </w:tcPr>
          <w:p w:rsidR="007B5E9C" w:rsidRPr="001C6E4E" w:rsidRDefault="007B5E9C" w:rsidP="007C7C87">
            <w:pPr>
              <w:jc w:val="center"/>
              <w:rPr>
                <w:rFonts w:ascii="Arial" w:hAnsi="Arial" w:cs="Arial"/>
              </w:rPr>
            </w:pPr>
            <w:r w:rsidRPr="001C6E4E">
              <w:rPr>
                <w:rFonts w:ascii="Arial" w:hAnsi="Arial" w:cs="Arial"/>
              </w:rPr>
              <w:t>3GPP Case 1</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Bandwidth</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10 MHz</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Carrier frequency</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2000 MHz</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Cellular Layout</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lastRenderedPageBreak/>
              <w:t>Inter-site</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500 m</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Distance-dependent path loss</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Shadowing standard deviation</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8 dB</w:t>
            </w:r>
          </w:p>
        </w:tc>
      </w:tr>
      <w:tr w:rsidR="007B5E9C" w:rsidRPr="001C6E4E" w:rsidTr="007C7C87">
        <w:tc>
          <w:tcPr>
            <w:tcW w:w="1388" w:type="dxa"/>
            <w:vMerge w:val="restart"/>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Shadowing correlation</w:t>
            </w:r>
          </w:p>
        </w:tc>
        <w:tc>
          <w:tcPr>
            <w:tcW w:w="1895" w:type="dxa"/>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Between cells</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0.5</w:t>
            </w:r>
          </w:p>
        </w:tc>
      </w:tr>
      <w:tr w:rsidR="007B5E9C" w:rsidRPr="001C6E4E" w:rsidTr="007C7C87">
        <w:tc>
          <w:tcPr>
            <w:tcW w:w="1388" w:type="dxa"/>
            <w:vMerge/>
            <w:shd w:val="clear" w:color="auto" w:fill="auto"/>
            <w:vAlign w:val="center"/>
          </w:tcPr>
          <w:p w:rsidR="007B5E9C" w:rsidRPr="001C6E4E" w:rsidRDefault="007B5E9C" w:rsidP="007C7C87">
            <w:pPr>
              <w:jc w:val="center"/>
              <w:rPr>
                <w:rFonts w:ascii="Arial" w:hAnsi="Arial" w:cs="Arial"/>
              </w:rPr>
            </w:pPr>
          </w:p>
        </w:tc>
        <w:tc>
          <w:tcPr>
            <w:tcW w:w="1895" w:type="dxa"/>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Between sectors</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1.0</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Penetration loss</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20 dB</w:t>
            </w:r>
          </w:p>
        </w:tc>
      </w:tr>
      <w:tr w:rsidR="007B5E9C" w:rsidRPr="001C6E4E" w:rsidTr="007C7C87">
        <w:tc>
          <w:tcPr>
            <w:tcW w:w="1388" w:type="dxa"/>
            <w:vMerge w:val="restart"/>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Antenna pattern</w:t>
            </w:r>
          </w:p>
        </w:tc>
        <w:tc>
          <w:tcPr>
            <w:tcW w:w="1895" w:type="dxa"/>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Horizontal</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position w:val="-38"/>
              </w:rPr>
              <w:object w:dxaOrig="3060" w:dyaOrig="880">
                <v:shape id="_x0000_i1033" type="#_x0000_t75" style="width:152.85pt;height:44.15pt" o:ole="">
                  <v:imagedata r:id="rId26" o:title=""/>
                </v:shape>
                <o:OLEObject Type="Embed" ProgID="Equation.3" ShapeID="_x0000_i1033" DrawAspect="Content" ObjectID="_1426964839" r:id="rId27"/>
              </w:object>
            </w:r>
          </w:p>
          <w:p w:rsidR="007B5E9C" w:rsidRPr="001C6E4E" w:rsidRDefault="007B5E9C" w:rsidP="007C7C87">
            <w:pPr>
              <w:jc w:val="center"/>
              <w:rPr>
                <w:rFonts w:ascii="Arial" w:hAnsi="Arial" w:cs="Arial"/>
              </w:rPr>
            </w:pPr>
            <w:r w:rsidRPr="001C6E4E">
              <w:rPr>
                <w:rFonts w:ascii="Arial" w:hAnsi="Arial" w:cs="Arial"/>
                <w:position w:val="-12"/>
              </w:rPr>
              <w:object w:dxaOrig="940" w:dyaOrig="360">
                <v:shape id="_x0000_i1034" type="#_x0000_t75" style="width:46.85pt;height:17.65pt" o:ole="">
                  <v:imagedata r:id="rId28" o:title=""/>
                </v:shape>
                <o:OLEObject Type="Embed" ProgID="Equation.3" ShapeID="_x0000_i1034" DrawAspect="Content" ObjectID="_1426964840" r:id="rId29"/>
              </w:object>
            </w:r>
            <w:r w:rsidRPr="001C6E4E">
              <w:rPr>
                <w:rFonts w:ascii="Arial" w:hAnsi="Arial" w:cs="Arial"/>
              </w:rPr>
              <w:t xml:space="preserve">degrees, </w:t>
            </w:r>
            <w:r w:rsidRPr="001C6E4E">
              <w:rPr>
                <w:rFonts w:ascii="Arial" w:hAnsi="Arial" w:cs="Arial"/>
                <w:position w:val="-12"/>
              </w:rPr>
              <w:object w:dxaOrig="1120" w:dyaOrig="360">
                <v:shape id="_x0000_i1035" type="#_x0000_t75" style="width:56.4pt;height:17.65pt" o:ole="">
                  <v:imagedata r:id="rId30" o:title=""/>
                </v:shape>
                <o:OLEObject Type="Embed" ProgID="Equation.3" ShapeID="_x0000_i1035" DrawAspect="Content" ObjectID="_1426964841" r:id="rId31"/>
              </w:object>
            </w:r>
          </w:p>
        </w:tc>
      </w:tr>
      <w:tr w:rsidR="007B5E9C" w:rsidRPr="001C6E4E" w:rsidTr="007C7C87">
        <w:tc>
          <w:tcPr>
            <w:tcW w:w="1388" w:type="dxa"/>
            <w:vMerge/>
            <w:shd w:val="clear" w:color="auto" w:fill="auto"/>
            <w:vAlign w:val="center"/>
          </w:tcPr>
          <w:p w:rsidR="007B5E9C" w:rsidRPr="001C6E4E" w:rsidRDefault="007B5E9C" w:rsidP="007C7C87">
            <w:pPr>
              <w:jc w:val="center"/>
              <w:rPr>
                <w:rFonts w:ascii="Arial" w:hAnsi="Arial" w:cs="Arial"/>
              </w:rPr>
            </w:pPr>
          </w:p>
        </w:tc>
        <w:tc>
          <w:tcPr>
            <w:tcW w:w="1895" w:type="dxa"/>
            <w:vMerge w:val="restart"/>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Vertical</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position w:val="-38"/>
              </w:rPr>
              <w:object w:dxaOrig="3500" w:dyaOrig="880">
                <v:shape id="_x0000_i1036" type="#_x0000_t75" style="width:174.55pt;height:44.15pt" o:ole="">
                  <v:imagedata r:id="rId32" o:title=""/>
                </v:shape>
                <o:OLEObject Type="Embed" ProgID="Equation.3" ShapeID="_x0000_i1036" DrawAspect="Content" ObjectID="_1426964842" r:id="rId33"/>
              </w:object>
            </w:r>
          </w:p>
          <w:p w:rsidR="007B5E9C" w:rsidRPr="001C6E4E" w:rsidRDefault="007B5E9C" w:rsidP="007C7C87">
            <w:pPr>
              <w:jc w:val="center"/>
              <w:rPr>
                <w:rFonts w:ascii="Arial" w:hAnsi="Arial" w:cs="Arial"/>
              </w:rPr>
            </w:pPr>
            <w:r w:rsidRPr="001C6E4E">
              <w:rPr>
                <w:rFonts w:ascii="Arial" w:hAnsi="Arial" w:cs="Arial"/>
                <w:position w:val="-12"/>
              </w:rPr>
              <w:object w:dxaOrig="900" w:dyaOrig="360">
                <v:shape id="_x0000_i1037" type="#_x0000_t75" style="width:44.85pt;height:17.65pt" o:ole="">
                  <v:imagedata r:id="rId34" o:title=""/>
                </v:shape>
                <o:OLEObject Type="Embed" ProgID="Equation.3" ShapeID="_x0000_i1037" DrawAspect="Content" ObjectID="_1426964843" r:id="rId35"/>
              </w:object>
            </w:r>
            <w:r w:rsidRPr="001C6E4E">
              <w:rPr>
                <w:rFonts w:ascii="Arial" w:hAnsi="Arial" w:cs="Arial"/>
              </w:rPr>
              <w:t xml:space="preserve">degrees, </w:t>
            </w:r>
            <w:r w:rsidRPr="001C6E4E">
              <w:rPr>
                <w:rFonts w:ascii="Arial" w:hAnsi="Arial" w:cs="Arial"/>
                <w:position w:val="-12"/>
              </w:rPr>
              <w:object w:dxaOrig="1320" w:dyaOrig="360">
                <v:shape id="_x0000_i1038" type="#_x0000_t75" style="width:65.9pt;height:17.65pt" o:ole="">
                  <v:imagedata r:id="rId36" o:title=""/>
                </v:shape>
                <o:OLEObject Type="Embed" ProgID="Equation.3" ShapeID="_x0000_i1038" DrawAspect="Content" ObjectID="_1426964844" r:id="rId37"/>
              </w:object>
            </w:r>
          </w:p>
          <w:p w:rsidR="007B5E9C" w:rsidRPr="001C6E4E" w:rsidRDefault="007B5E9C" w:rsidP="007C7C87">
            <w:pPr>
              <w:rPr>
                <w:rFonts w:ascii="Arial" w:hAnsi="Arial" w:cs="Arial"/>
              </w:rPr>
            </w:pPr>
            <w:r w:rsidRPr="001C6E4E">
              <w:rPr>
                <w:rFonts w:ascii="Arial" w:hAnsi="Arial" w:cs="Arial"/>
              </w:rPr>
              <w:t>Antenna height at the base station is set to 32m. Antenna height at the UE is set to 1.5m.</w:t>
            </w:r>
          </w:p>
        </w:tc>
      </w:tr>
      <w:tr w:rsidR="007B5E9C" w:rsidRPr="001C6E4E" w:rsidTr="007C7C87">
        <w:tc>
          <w:tcPr>
            <w:tcW w:w="1388" w:type="dxa"/>
            <w:vMerge/>
            <w:shd w:val="clear" w:color="auto" w:fill="auto"/>
            <w:vAlign w:val="center"/>
          </w:tcPr>
          <w:p w:rsidR="007B5E9C" w:rsidRPr="001C6E4E" w:rsidRDefault="007B5E9C" w:rsidP="007C7C87">
            <w:pPr>
              <w:jc w:val="center"/>
              <w:rPr>
                <w:rFonts w:ascii="Arial" w:hAnsi="Arial" w:cs="Arial"/>
              </w:rPr>
            </w:pPr>
          </w:p>
        </w:tc>
        <w:tc>
          <w:tcPr>
            <w:tcW w:w="1895" w:type="dxa"/>
            <w:vMerge/>
            <w:shd w:val="clear" w:color="auto" w:fill="auto"/>
            <w:vAlign w:val="center"/>
          </w:tcPr>
          <w:p w:rsidR="007B5E9C" w:rsidRPr="001C6E4E" w:rsidRDefault="007B5E9C" w:rsidP="007C7C87">
            <w:pPr>
              <w:jc w:val="center"/>
              <w:rPr>
                <w:rFonts w:ascii="Arial" w:hAnsi="Arial" w:cs="Arial"/>
              </w:rPr>
            </w:pP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position w:val="-12"/>
              </w:rPr>
              <w:object w:dxaOrig="900" w:dyaOrig="360">
                <v:shape id="_x0000_i1039" type="#_x0000_t75" style="width:44.85pt;height:17.65pt" o:ole="">
                  <v:imagedata r:id="rId38" o:title=""/>
                </v:shape>
                <o:OLEObject Type="Embed" ProgID="Equation.3" ShapeID="_x0000_i1039" DrawAspect="Content" ObjectID="_1426964845" r:id="rId39"/>
              </w:object>
            </w:r>
            <w:r w:rsidRPr="001C6E4E">
              <w:rPr>
                <w:rFonts w:ascii="Arial" w:hAnsi="Arial" w:cs="Arial"/>
              </w:rPr>
              <w:t>degrees</w:t>
            </w:r>
          </w:p>
        </w:tc>
      </w:tr>
      <w:tr w:rsidR="007B5E9C" w:rsidRPr="001C6E4E" w:rsidTr="007C7C87">
        <w:tc>
          <w:tcPr>
            <w:tcW w:w="1388" w:type="dxa"/>
            <w:vMerge/>
            <w:shd w:val="clear" w:color="auto" w:fill="auto"/>
            <w:vAlign w:val="center"/>
          </w:tcPr>
          <w:p w:rsidR="007B5E9C" w:rsidRPr="001C6E4E" w:rsidRDefault="007B5E9C" w:rsidP="007C7C87">
            <w:pPr>
              <w:jc w:val="center"/>
              <w:rPr>
                <w:rFonts w:ascii="Arial" w:hAnsi="Arial" w:cs="Arial"/>
              </w:rPr>
            </w:pPr>
          </w:p>
        </w:tc>
        <w:tc>
          <w:tcPr>
            <w:tcW w:w="1895" w:type="dxa"/>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Combining method in 3D antenna pattern</w:t>
            </w:r>
          </w:p>
        </w:tc>
        <w:tc>
          <w:tcPr>
            <w:tcW w:w="6558" w:type="dxa"/>
            <w:shd w:val="clear" w:color="auto" w:fill="auto"/>
            <w:vAlign w:val="center"/>
          </w:tcPr>
          <w:p w:rsidR="007B5E9C" w:rsidRPr="001C6E4E" w:rsidRDefault="007B5E9C" w:rsidP="007C7C87">
            <w:pPr>
              <w:jc w:val="center"/>
              <w:rPr>
                <w:rFonts w:ascii="Arial" w:hAnsi="Arial" w:cs="Arial"/>
              </w:rPr>
            </w:pPr>
            <w:r w:rsidRPr="001C6E4E">
              <w:rPr>
                <w:rFonts w:ascii="Arial" w:hAnsi="Arial" w:cs="Arial"/>
                <w:position w:val="-12"/>
              </w:rPr>
              <w:object w:dxaOrig="3739" w:dyaOrig="360">
                <v:shape id="_x0000_i1040" type="#_x0000_t75" style="width:186.1pt;height:17.65pt" o:ole="">
                  <v:imagedata r:id="rId40" o:title=""/>
                </v:shape>
                <o:OLEObject Type="Embed" ProgID="Equation.3" ShapeID="_x0000_i1040" DrawAspect="Content" ObjectID="_1426964846" r:id="rId41"/>
              </w:objec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w:t>
            </w:r>
            <w:proofErr w:type="spellStart"/>
            <w:r w:rsidRPr="001C6E4E">
              <w:rPr>
                <w:rFonts w:ascii="Arial" w:hAnsi="Arial" w:cs="Arial"/>
              </w:rPr>
              <w:t>Ptotal</w:t>
            </w:r>
            <w:proofErr w:type="spellEnd"/>
            <w:r w:rsidRPr="001C6E4E">
              <w:rPr>
                <w:rFonts w:ascii="Arial" w:hAnsi="Arial" w:cs="Arial"/>
              </w:rPr>
              <w:t>)</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 xml:space="preserve">46 </w:t>
            </w:r>
            <w:proofErr w:type="spellStart"/>
            <w:r w:rsidRPr="001C6E4E">
              <w:rPr>
                <w:rFonts w:ascii="Arial" w:hAnsi="Arial" w:cs="Arial"/>
              </w:rPr>
              <w:t>dBm</w:t>
            </w:r>
            <w:proofErr w:type="spellEnd"/>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Minimum distance between UE and Cell</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&gt;= 35 meters</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Hard handover hysteresis</w:t>
            </w:r>
          </w:p>
        </w:tc>
        <w:tc>
          <w:tcPr>
            <w:tcW w:w="6558" w:type="dxa"/>
            <w:shd w:val="clear" w:color="auto" w:fill="auto"/>
          </w:tcPr>
          <w:p w:rsidR="007B5E9C" w:rsidRPr="001C6E4E" w:rsidRDefault="007B5E9C" w:rsidP="007C7C87">
            <w:pPr>
              <w:jc w:val="center"/>
              <w:rPr>
                <w:rFonts w:ascii="Arial" w:hAnsi="Arial" w:cs="Arial"/>
              </w:rPr>
            </w:pPr>
            <w:r w:rsidRPr="001C6E4E">
              <w:rPr>
                <w:rFonts w:ascii="Arial" w:hAnsi="Arial" w:cs="Arial"/>
              </w:rPr>
              <w:t>3 dB</w:t>
            </w:r>
          </w:p>
        </w:tc>
      </w:tr>
      <w:tr w:rsidR="007B5E9C" w:rsidRPr="001C6E4E" w:rsidTr="007C7C87">
        <w:tc>
          <w:tcPr>
            <w:tcW w:w="3283" w:type="dxa"/>
            <w:gridSpan w:val="2"/>
            <w:shd w:val="clear" w:color="auto" w:fill="auto"/>
            <w:vAlign w:val="center"/>
          </w:tcPr>
          <w:p w:rsidR="007B5E9C" w:rsidRPr="001C6E4E" w:rsidRDefault="007B5E9C" w:rsidP="007C7C87">
            <w:pPr>
              <w:jc w:val="center"/>
              <w:rPr>
                <w:rFonts w:ascii="Arial" w:hAnsi="Arial" w:cs="Arial"/>
              </w:rPr>
            </w:pPr>
            <w:r w:rsidRPr="001C6E4E">
              <w:rPr>
                <w:rFonts w:ascii="Arial" w:hAnsi="Arial" w:cs="Arial"/>
              </w:rPr>
              <w:t>Traffic model</w:t>
            </w:r>
          </w:p>
        </w:tc>
        <w:tc>
          <w:tcPr>
            <w:tcW w:w="6558" w:type="dxa"/>
            <w:shd w:val="clear" w:color="auto" w:fill="auto"/>
          </w:tcPr>
          <w:p w:rsidR="007B5E9C" w:rsidRPr="001C6E4E" w:rsidRDefault="007B5E9C" w:rsidP="000745F8">
            <w:pPr>
              <w:jc w:val="center"/>
              <w:rPr>
                <w:rFonts w:ascii="Arial" w:hAnsi="Arial" w:cs="Arial"/>
              </w:rPr>
            </w:pPr>
            <w:r>
              <w:rPr>
                <w:rFonts w:ascii="Arial" w:hAnsi="Arial" w:cs="Arial" w:hint="eastAsia"/>
              </w:rPr>
              <w:t>non-full buffer</w:t>
            </w:r>
          </w:p>
        </w:tc>
      </w:tr>
      <w:tr w:rsidR="007B5E9C" w:rsidRPr="00EC38DE" w:rsidTr="007C7C87">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EC38DE" w:rsidRDefault="007B5E9C" w:rsidP="007C7C87">
            <w:pPr>
              <w:jc w:val="center"/>
              <w:rPr>
                <w:rFonts w:ascii="Arial" w:hAnsi="Arial" w:cs="Arial"/>
              </w:rPr>
            </w:pPr>
            <w:r w:rsidRPr="00881B7B">
              <w:rPr>
                <w:rFonts w:ascii="Arial" w:hAnsi="Arial" w:cs="Arial"/>
              </w:rPr>
              <w:t>Network synchronization</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EC38DE" w:rsidRDefault="007B5E9C" w:rsidP="007C7C87">
            <w:pPr>
              <w:jc w:val="center"/>
              <w:rPr>
                <w:rFonts w:ascii="Arial" w:hAnsi="Arial" w:cs="Arial"/>
              </w:rPr>
            </w:pPr>
            <w:r w:rsidRPr="00881B7B">
              <w:rPr>
                <w:rFonts w:ascii="Arial" w:hAnsi="Arial" w:cs="Arial"/>
              </w:rPr>
              <w:t>Synchronized</w:t>
            </w:r>
          </w:p>
        </w:tc>
      </w:tr>
      <w:tr w:rsidR="007B5E9C" w:rsidRPr="00AA1F63" w:rsidTr="007C7C87">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881B7B" w:rsidRDefault="007B5E9C" w:rsidP="007C7C87">
            <w:pPr>
              <w:jc w:val="center"/>
              <w:rPr>
                <w:rFonts w:ascii="Arial" w:hAnsi="Arial" w:cs="Arial"/>
              </w:rPr>
            </w:pPr>
            <w:r w:rsidRPr="00881B7B">
              <w:rPr>
                <w:rFonts w:ascii="Arial" w:hAnsi="Arial" w:cs="Arial"/>
              </w:rPr>
              <w:t>PCI planning</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881B7B" w:rsidRDefault="007B5E9C" w:rsidP="007C7C87">
            <w:pPr>
              <w:jc w:val="center"/>
              <w:rPr>
                <w:rFonts w:ascii="Arial" w:hAnsi="Arial" w:cs="Arial"/>
              </w:rPr>
            </w:pPr>
            <w:r w:rsidRPr="00881B7B">
              <w:rPr>
                <w:rFonts w:ascii="Arial" w:hAnsi="Arial" w:cs="Arial"/>
              </w:rPr>
              <w:t>Planned cell ID layout with 3-CRS shift patterns (“Shifted CRS”)</w:t>
            </w:r>
          </w:p>
        </w:tc>
      </w:tr>
      <w:tr w:rsidR="007B5E9C" w:rsidRPr="00AA1F63" w:rsidTr="007C7C87">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881B7B" w:rsidRDefault="007B5E9C" w:rsidP="007C7C87">
            <w:pPr>
              <w:jc w:val="center"/>
              <w:rPr>
                <w:rFonts w:ascii="Arial" w:hAnsi="Arial" w:cs="Arial"/>
              </w:rPr>
            </w:pPr>
            <w:r w:rsidRPr="00881B7B">
              <w:rPr>
                <w:rFonts w:ascii="Arial" w:hAnsi="Arial" w:cs="Arial"/>
              </w:rPr>
              <w:t>UE distribution</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881B7B" w:rsidRDefault="007B5E9C" w:rsidP="007C7C87">
            <w:pPr>
              <w:jc w:val="center"/>
              <w:rPr>
                <w:rFonts w:ascii="Arial" w:hAnsi="Arial" w:cs="Arial"/>
              </w:rPr>
            </w:pPr>
            <w:r w:rsidRPr="00881B7B">
              <w:rPr>
                <w:rFonts w:ascii="Arial" w:hAnsi="Arial" w:cs="Arial"/>
              </w:rPr>
              <w:t>Uniformly distributed, all users outdoors, speed 3 km/h</w:t>
            </w:r>
          </w:p>
        </w:tc>
      </w:tr>
      <w:tr w:rsidR="007B5E9C" w:rsidRPr="00AA1F63" w:rsidTr="007C7C87">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881B7B" w:rsidRDefault="007B5E9C" w:rsidP="007C7C87">
            <w:pPr>
              <w:jc w:val="center"/>
              <w:rPr>
                <w:rFonts w:ascii="Arial" w:hAnsi="Arial" w:cs="Arial"/>
              </w:rPr>
            </w:pPr>
            <w:r w:rsidRPr="00881B7B">
              <w:rPr>
                <w:rFonts w:ascii="Arial" w:hAnsi="Arial" w:cs="Arial"/>
              </w:rPr>
              <w:t>Noise figure</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881B7B" w:rsidRDefault="007B5E9C" w:rsidP="007C7C87">
            <w:pPr>
              <w:jc w:val="center"/>
              <w:rPr>
                <w:rFonts w:ascii="Arial" w:hAnsi="Arial" w:cs="Arial"/>
              </w:rPr>
            </w:pPr>
            <w:r w:rsidRPr="00881B7B">
              <w:rPr>
                <w:rFonts w:ascii="Arial" w:hAnsi="Arial" w:cs="Arial"/>
              </w:rPr>
              <w:t>9 dB in UE</w:t>
            </w:r>
          </w:p>
        </w:tc>
      </w:tr>
      <w:tr w:rsidR="007B5E9C" w:rsidRPr="00AA1F63" w:rsidTr="007C7C87">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881B7B" w:rsidRDefault="007B5E9C" w:rsidP="007C7C87">
            <w:pPr>
              <w:jc w:val="center"/>
              <w:rPr>
                <w:rFonts w:ascii="Arial" w:hAnsi="Arial" w:cs="Arial"/>
              </w:rPr>
            </w:pPr>
            <w:r w:rsidRPr="00881B7B">
              <w:rPr>
                <w:rFonts w:ascii="Arial" w:hAnsi="Arial" w:cs="Arial"/>
              </w:rPr>
              <w:t>Cell selection</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881B7B" w:rsidRDefault="007B5E9C" w:rsidP="007C7C87">
            <w:pPr>
              <w:jc w:val="center"/>
              <w:rPr>
                <w:rFonts w:ascii="Arial" w:hAnsi="Arial" w:cs="Arial"/>
              </w:rPr>
            </w:pPr>
            <w:r w:rsidRPr="00881B7B">
              <w:rPr>
                <w:rFonts w:ascii="Arial" w:hAnsi="Arial" w:cs="Arial"/>
              </w:rPr>
              <w:t>RSRP based cell selection with 1dB HO margin</w:t>
            </w:r>
          </w:p>
        </w:tc>
      </w:tr>
      <w:tr w:rsidR="007B5E9C" w:rsidRPr="00AA1F63" w:rsidTr="007C7C87">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881B7B" w:rsidRDefault="007B5E9C" w:rsidP="007C7C87">
            <w:pPr>
              <w:jc w:val="center"/>
              <w:rPr>
                <w:rFonts w:ascii="Arial" w:hAnsi="Arial" w:cs="Arial"/>
              </w:rPr>
            </w:pPr>
            <w:r w:rsidRPr="00881B7B">
              <w:rPr>
                <w:rFonts w:ascii="Arial" w:hAnsi="Arial" w:cs="Arial"/>
              </w:rPr>
              <w:t>DL Transmission schemes</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881B7B" w:rsidRDefault="007B5E9C" w:rsidP="007C7C87">
            <w:pPr>
              <w:jc w:val="center"/>
              <w:rPr>
                <w:rFonts w:ascii="Arial" w:hAnsi="Arial" w:cs="Arial"/>
              </w:rPr>
            </w:pPr>
            <w:r w:rsidRPr="00881B7B">
              <w:rPr>
                <w:rFonts w:ascii="Arial" w:hAnsi="Arial" w:cs="Arial"/>
              </w:rPr>
              <w:t>Spatial multiplexing, 2 layers, QPSK/16QAM/64QAM</w:t>
            </w:r>
          </w:p>
        </w:tc>
      </w:tr>
      <w:tr w:rsidR="007B5E9C" w:rsidRPr="007638F4" w:rsidTr="007C7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CD509D" w:rsidRDefault="007B5E9C" w:rsidP="007C7C87">
            <w:pPr>
              <w:rPr>
                <w:rFonts w:ascii="Arial" w:hAnsi="Arial" w:cs="Arial"/>
              </w:rPr>
            </w:pPr>
            <w:r w:rsidRPr="00CD509D">
              <w:rPr>
                <w:rFonts w:ascii="Arial" w:hAnsi="Arial" w:cs="Arial" w:hint="eastAsia"/>
              </w:rPr>
              <w:t>File size, S</w:t>
            </w:r>
          </w:p>
          <w:p w:rsidR="007B5E9C" w:rsidRPr="00CD509D" w:rsidRDefault="007B5E9C" w:rsidP="007C7C87">
            <w:pPr>
              <w:rPr>
                <w:rFonts w:ascii="Arial" w:hAnsi="Arial" w:cs="Arial"/>
              </w:rPr>
            </w:pP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CD509D" w:rsidRDefault="007B5E9C" w:rsidP="007C7C87">
            <w:pPr>
              <w:jc w:val="center"/>
              <w:rPr>
                <w:rFonts w:ascii="Arial" w:hAnsi="Arial" w:cs="Arial"/>
              </w:rPr>
            </w:pPr>
            <w:r w:rsidRPr="00CD509D">
              <w:rPr>
                <w:rFonts w:ascii="Arial" w:hAnsi="Arial" w:cs="Arial" w:hint="eastAsia"/>
              </w:rPr>
              <w:t>2 Mbytes (0.5 Mbytes optional)</w:t>
            </w:r>
          </w:p>
          <w:p w:rsidR="007B5E9C" w:rsidRPr="00CD509D" w:rsidRDefault="007B5E9C" w:rsidP="007C7C87">
            <w:pPr>
              <w:jc w:val="center"/>
              <w:rPr>
                <w:rFonts w:ascii="Arial" w:hAnsi="Arial" w:cs="Arial"/>
              </w:rPr>
            </w:pPr>
            <w:r w:rsidRPr="00CD509D">
              <w:rPr>
                <w:rFonts w:ascii="Arial" w:hAnsi="Arial" w:cs="Arial" w:hint="eastAsia"/>
              </w:rPr>
              <w:t xml:space="preserve"> (one user download</w:t>
            </w:r>
            <w:r w:rsidRPr="00CD509D">
              <w:rPr>
                <w:rFonts w:ascii="Arial" w:hAnsi="Arial" w:cs="Arial"/>
              </w:rPr>
              <w:t>s</w:t>
            </w:r>
            <w:r w:rsidRPr="00CD509D">
              <w:rPr>
                <w:rFonts w:ascii="Arial" w:hAnsi="Arial" w:cs="Arial" w:hint="eastAsia"/>
              </w:rPr>
              <w:t xml:space="preserve"> a single file)</w:t>
            </w:r>
          </w:p>
        </w:tc>
      </w:tr>
      <w:tr w:rsidR="007B5E9C" w:rsidRPr="007638F4" w:rsidTr="007C7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CD509D" w:rsidRDefault="007B5E9C" w:rsidP="007C7C87">
            <w:pPr>
              <w:rPr>
                <w:rFonts w:ascii="Arial" w:hAnsi="Arial" w:cs="Arial"/>
              </w:rPr>
            </w:pPr>
            <w:r w:rsidRPr="00CD509D">
              <w:rPr>
                <w:rFonts w:ascii="Arial" w:hAnsi="Arial" w:cs="Arial" w:hint="eastAsia"/>
              </w:rPr>
              <w:t>User arrival rate λ</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CD509D" w:rsidRDefault="007B5E9C" w:rsidP="007C7C87">
            <w:pPr>
              <w:jc w:val="center"/>
              <w:rPr>
                <w:rFonts w:ascii="Arial" w:hAnsi="Arial" w:cs="Arial"/>
              </w:rPr>
            </w:pPr>
            <w:r w:rsidRPr="00CD509D">
              <w:rPr>
                <w:rFonts w:ascii="Arial" w:hAnsi="Arial" w:cs="Arial" w:hint="eastAsia"/>
              </w:rPr>
              <w:t>Poisson distributed with arrival rate λ</w:t>
            </w:r>
          </w:p>
        </w:tc>
      </w:tr>
      <w:tr w:rsidR="007B5E9C" w:rsidRPr="007638F4" w:rsidTr="007C7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CD509D" w:rsidRDefault="007B5E9C" w:rsidP="007C7C87">
            <w:pPr>
              <w:rPr>
                <w:rFonts w:ascii="Arial" w:hAnsi="Arial" w:cs="Arial"/>
              </w:rPr>
            </w:pPr>
            <w:r w:rsidRPr="007638F4">
              <w:rPr>
                <w:rFonts w:hint="eastAsia"/>
              </w:rPr>
              <w:t>Possible range of λ</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Default="007B5E9C" w:rsidP="007C7C87">
            <w:pPr>
              <w:jc w:val="center"/>
            </w:pPr>
            <w:r w:rsidRPr="007638F4">
              <w:rPr>
                <w:rFonts w:hint="eastAsia"/>
              </w:rPr>
              <w:t>[0.5, 1, 1.5, 2, 2.5] for 0.5 Mbytes, [0.12, 0.25, 0.37, 0.5, 0.625] for 2 Mbytes</w:t>
            </w:r>
          </w:p>
          <w:p w:rsidR="007B5E9C" w:rsidRPr="00CD509D" w:rsidRDefault="007B5E9C" w:rsidP="002400EE">
            <w:pPr>
              <w:jc w:val="center"/>
              <w:rPr>
                <w:rFonts w:ascii="Arial" w:hAnsi="Arial" w:cs="Arial"/>
              </w:rPr>
            </w:pPr>
            <w:r>
              <w:t xml:space="preserve">Corresponding RU [10%, 20%,30%,40%,50%] </w:t>
            </w:r>
          </w:p>
        </w:tc>
      </w:tr>
      <w:tr w:rsidR="007B5E9C" w:rsidRPr="007638F4" w:rsidTr="007C7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B5E9C" w:rsidRPr="007638F4" w:rsidRDefault="007B5E9C" w:rsidP="007C7C87">
            <w:r>
              <w:t>Geometry</w:t>
            </w:r>
          </w:p>
        </w:tc>
        <w:tc>
          <w:tcPr>
            <w:tcW w:w="6558" w:type="dxa"/>
            <w:tcBorders>
              <w:top w:val="single" w:sz="4" w:space="0" w:color="auto"/>
              <w:left w:val="single" w:sz="4" w:space="0" w:color="auto"/>
              <w:bottom w:val="single" w:sz="4" w:space="0" w:color="auto"/>
              <w:right w:val="single" w:sz="4" w:space="0" w:color="auto"/>
            </w:tcBorders>
            <w:shd w:val="clear" w:color="auto" w:fill="auto"/>
          </w:tcPr>
          <w:p w:rsidR="007B5E9C" w:rsidRPr="007638F4" w:rsidRDefault="001C272F" w:rsidP="007C7C87">
            <w:pPr>
              <w:jc w:val="center"/>
            </w:pPr>
            <w:r>
              <w:t>TBD</w:t>
            </w:r>
          </w:p>
        </w:tc>
      </w:tr>
    </w:tbl>
    <w:p w:rsidR="00CE10C4" w:rsidRPr="00CE10C4" w:rsidRDefault="00CE10C4" w:rsidP="00CE10C4">
      <w:pPr>
        <w:rPr>
          <w:lang w:eastAsia="ja-JP"/>
        </w:rPr>
      </w:pPr>
    </w:p>
    <w:p w:rsidR="00FA2526" w:rsidRPr="005861D8" w:rsidRDefault="00FA2526" w:rsidP="00FA2526">
      <w:pPr>
        <w:rPr>
          <w:rFonts w:ascii="Arial" w:hAnsi="Arial" w:cs="Arial"/>
          <w:b/>
        </w:rPr>
      </w:pPr>
    </w:p>
    <w:p w:rsidR="00FA2526" w:rsidRPr="005861D8" w:rsidRDefault="00FA2526" w:rsidP="00FA2526">
      <w:pPr>
        <w:pStyle w:val="Heading1"/>
      </w:pPr>
      <w:r w:rsidRPr="005861D8">
        <w:t>Summary</w:t>
      </w:r>
    </w:p>
    <w:p w:rsidR="00FA2526" w:rsidRDefault="00FA2526" w:rsidP="00FA2526">
      <w:pPr>
        <w:rPr>
          <w:rFonts w:ascii="Arial" w:hAnsi="Arial" w:cs="Arial"/>
        </w:rPr>
      </w:pPr>
      <w:r w:rsidRPr="005861D8">
        <w:rPr>
          <w:rFonts w:ascii="Arial" w:hAnsi="Arial" w:cs="Arial"/>
        </w:rPr>
        <w:t xml:space="preserve">In this contribution </w:t>
      </w:r>
      <w:r>
        <w:rPr>
          <w:rFonts w:ascii="Arial" w:hAnsi="Arial" w:cs="Arial" w:hint="eastAsia"/>
        </w:rPr>
        <w:t xml:space="preserve">initial </w:t>
      </w:r>
      <w:r w:rsidRPr="005861D8">
        <w:rPr>
          <w:rFonts w:ascii="Arial" w:hAnsi="Arial" w:cs="Arial"/>
        </w:rPr>
        <w:t>simulation assumptions</w:t>
      </w:r>
      <w:r w:rsidR="009C035A">
        <w:rPr>
          <w:rFonts w:ascii="Arial" w:hAnsi="Arial" w:cs="Arial"/>
        </w:rPr>
        <w:t xml:space="preserve"> and methodology </w:t>
      </w:r>
      <w:r w:rsidRPr="005861D8">
        <w:rPr>
          <w:rFonts w:ascii="Arial" w:hAnsi="Arial" w:cs="Arial"/>
        </w:rPr>
        <w:t xml:space="preserve">for interference </w:t>
      </w:r>
      <w:proofErr w:type="spellStart"/>
      <w:r w:rsidRPr="005861D8">
        <w:rPr>
          <w:rFonts w:ascii="Arial" w:hAnsi="Arial" w:cs="Arial"/>
        </w:rPr>
        <w:t>modeling</w:t>
      </w:r>
      <w:proofErr w:type="spellEnd"/>
      <w:r w:rsidRPr="005861D8">
        <w:rPr>
          <w:rFonts w:ascii="Arial" w:hAnsi="Arial" w:cs="Arial"/>
        </w:rPr>
        <w:t xml:space="preserve"> were provided. Interested companies are requested to provide </w:t>
      </w:r>
      <w:r>
        <w:rPr>
          <w:rFonts w:ascii="Arial" w:hAnsi="Arial" w:cs="Arial" w:hint="eastAsia"/>
        </w:rPr>
        <w:t xml:space="preserve">the </w:t>
      </w:r>
      <w:r>
        <w:rPr>
          <w:rFonts w:ascii="Arial" w:hAnsi="Arial" w:cs="Arial"/>
        </w:rPr>
        <w:t>simulation</w:t>
      </w:r>
      <w:r>
        <w:rPr>
          <w:rFonts w:ascii="Arial" w:hAnsi="Arial" w:cs="Arial" w:hint="eastAsia"/>
        </w:rPr>
        <w:t xml:space="preserve"> </w:t>
      </w:r>
      <w:r w:rsidRPr="005861D8">
        <w:rPr>
          <w:rFonts w:ascii="Arial" w:hAnsi="Arial" w:cs="Arial"/>
        </w:rPr>
        <w:t xml:space="preserve">results </w:t>
      </w:r>
      <w:r>
        <w:rPr>
          <w:rFonts w:ascii="Arial" w:hAnsi="Arial" w:cs="Arial" w:hint="eastAsia"/>
        </w:rPr>
        <w:t xml:space="preserve">for interference profile/ </w:t>
      </w:r>
      <w:proofErr w:type="spellStart"/>
      <w:r>
        <w:rPr>
          <w:rFonts w:ascii="Arial" w:hAnsi="Arial" w:cs="Arial"/>
        </w:rPr>
        <w:t>modeling</w:t>
      </w:r>
      <w:proofErr w:type="spellEnd"/>
      <w:r>
        <w:rPr>
          <w:rFonts w:ascii="Arial" w:hAnsi="Arial" w:cs="Arial" w:hint="eastAsia"/>
        </w:rPr>
        <w:t xml:space="preserve"> </w:t>
      </w:r>
      <w:r w:rsidRPr="005861D8">
        <w:rPr>
          <w:rFonts w:ascii="Arial" w:hAnsi="Arial" w:cs="Arial"/>
        </w:rPr>
        <w:t>for RAN4#6</w:t>
      </w:r>
      <w:r w:rsidR="00A007A1">
        <w:rPr>
          <w:rFonts w:ascii="Arial" w:hAnsi="Arial" w:cs="Arial"/>
        </w:rPr>
        <w:t>7</w:t>
      </w:r>
      <w:r w:rsidRPr="005861D8">
        <w:rPr>
          <w:rFonts w:ascii="Arial" w:hAnsi="Arial" w:cs="Arial"/>
        </w:rPr>
        <w:t xml:space="preserve"> meeting.</w:t>
      </w:r>
    </w:p>
    <w:p w:rsidR="00C14E32" w:rsidRDefault="00C14E32" w:rsidP="00FA2526">
      <w:pPr>
        <w:rPr>
          <w:rFonts w:ascii="Arial" w:hAnsi="Arial" w:cs="Arial"/>
        </w:rPr>
      </w:pPr>
    </w:p>
    <w:p w:rsidR="00C14E32" w:rsidRPr="005861D8" w:rsidRDefault="00C14E32" w:rsidP="00EA4319">
      <w:pPr>
        <w:pStyle w:val="Heading1"/>
        <w:numPr>
          <w:ilvl w:val="0"/>
          <w:numId w:val="0"/>
        </w:numPr>
        <w:ind w:left="432" w:hanging="432"/>
      </w:pPr>
      <w:r w:rsidRPr="005861D8">
        <w:rPr>
          <w:lang w:eastAsia="ja-JP"/>
        </w:rPr>
        <w:t>Reference</w:t>
      </w:r>
    </w:p>
    <w:p w:rsidR="00745498" w:rsidRPr="002C2B3A" w:rsidRDefault="00745498" w:rsidP="00745498">
      <w:pPr>
        <w:numPr>
          <w:ilvl w:val="0"/>
          <w:numId w:val="28"/>
        </w:numPr>
        <w:overflowPunct/>
        <w:autoSpaceDE/>
        <w:autoSpaceDN/>
        <w:adjustRightInd/>
        <w:spacing w:after="200" w:line="276" w:lineRule="auto"/>
        <w:jc w:val="left"/>
        <w:textAlignment w:val="auto"/>
        <w:rPr>
          <w:rFonts w:ascii="Arial" w:eastAsia="MS PMincho" w:hAnsi="Arial" w:cs="Arial"/>
        </w:rPr>
      </w:pPr>
      <w:r w:rsidRPr="00745498">
        <w:t>3GPP TR 36.829</w:t>
      </w:r>
      <w:r>
        <w:t xml:space="preserve">, </w:t>
      </w:r>
      <w:r w:rsidRPr="00E440F0">
        <w:rPr>
          <w:rFonts w:hint="eastAsia"/>
        </w:rPr>
        <w:t>Enhanced performance requirement</w:t>
      </w:r>
      <w:r w:rsidRPr="00E440F0">
        <w:rPr>
          <w:lang w:val="en-US"/>
        </w:rPr>
        <w:t xml:space="preserve"> for LTE</w:t>
      </w:r>
      <w:r>
        <w:rPr>
          <w:lang w:val="en-US"/>
        </w:rPr>
        <w:t xml:space="preserve"> User Equipment (UE), 3GPP</w:t>
      </w:r>
      <w:r w:rsidR="00292D6B">
        <w:rPr>
          <w:lang w:val="en-US"/>
        </w:rPr>
        <w:t>, 2012</w:t>
      </w:r>
    </w:p>
    <w:p w:rsidR="00C14E32" w:rsidRDefault="00AF14D9" w:rsidP="00234798">
      <w:pPr>
        <w:numPr>
          <w:ilvl w:val="0"/>
          <w:numId w:val="28"/>
        </w:numPr>
        <w:overflowPunct/>
        <w:autoSpaceDE/>
        <w:autoSpaceDN/>
        <w:adjustRightInd/>
        <w:spacing w:after="200" w:line="276" w:lineRule="auto"/>
        <w:jc w:val="left"/>
        <w:textAlignment w:val="auto"/>
      </w:pPr>
      <w:r w:rsidRPr="00234798">
        <w:t>RP-130393, “New Study Item proposal: CRS Interference Mitigation for Homogenous Deployments,” Ericsson, RAN #59.</w:t>
      </w:r>
    </w:p>
    <w:p w:rsidR="003943BA" w:rsidRDefault="00DC70F4" w:rsidP="00DC70F4">
      <w:pPr>
        <w:pStyle w:val="ListParagraph"/>
        <w:numPr>
          <w:ilvl w:val="0"/>
          <w:numId w:val="28"/>
        </w:numPr>
        <w:overflowPunct/>
        <w:autoSpaceDE/>
        <w:autoSpaceDN/>
        <w:adjustRightInd/>
        <w:spacing w:after="200" w:line="276" w:lineRule="auto"/>
        <w:jc w:val="left"/>
        <w:textAlignment w:val="auto"/>
      </w:pPr>
      <w:r w:rsidRPr="00DC70F4">
        <w:t>3GPP TR 25.963, Feasibility study on interference cancellation for UTRA FDD User Equipment</w:t>
      </w:r>
    </w:p>
    <w:p w:rsidR="00307CC8" w:rsidRPr="00234798" w:rsidRDefault="00307CC8" w:rsidP="00307CC8">
      <w:pPr>
        <w:pStyle w:val="ListParagraph"/>
        <w:numPr>
          <w:ilvl w:val="0"/>
          <w:numId w:val="28"/>
        </w:numPr>
        <w:overflowPunct/>
        <w:autoSpaceDE/>
        <w:autoSpaceDN/>
        <w:adjustRightInd/>
        <w:spacing w:after="200" w:line="276" w:lineRule="auto"/>
        <w:jc w:val="left"/>
        <w:textAlignment w:val="auto"/>
      </w:pPr>
      <w:r w:rsidRPr="00307CC8">
        <w:t>R4-115874</w:t>
      </w:r>
      <w:r>
        <w:t xml:space="preserve">, </w:t>
      </w:r>
      <w:r w:rsidRPr="00307CC8">
        <w:t>System level results for advanced performance requirements for LTE UE</w:t>
      </w:r>
      <w:r>
        <w:t xml:space="preserve">, </w:t>
      </w:r>
      <w:proofErr w:type="spellStart"/>
      <w:r w:rsidRPr="00307CC8">
        <w:t>Renesas</w:t>
      </w:r>
      <w:proofErr w:type="spellEnd"/>
      <w:r w:rsidRPr="00307CC8">
        <w:t xml:space="preserve"> Mobile Europe Ltd</w:t>
      </w:r>
      <w:r>
        <w:t>, Nov. 2011</w:t>
      </w:r>
    </w:p>
    <w:p w:rsidR="00D33D34" w:rsidRPr="00B91844" w:rsidRDefault="00D33D34" w:rsidP="00AD7ACC">
      <w:pPr>
        <w:overflowPunct/>
        <w:autoSpaceDE/>
        <w:autoSpaceDN/>
        <w:adjustRightInd/>
        <w:spacing w:after="200" w:line="276" w:lineRule="auto"/>
        <w:ind w:left="420"/>
        <w:textAlignment w:val="auto"/>
        <w:rPr>
          <w:rFonts w:ascii="Arial" w:hAnsi="Arial" w:cs="Arial"/>
        </w:rPr>
      </w:pPr>
    </w:p>
    <w:p w:rsidR="00D13FCF" w:rsidRPr="00D13FCF" w:rsidRDefault="00D13FCF" w:rsidP="00D13FCF">
      <w:pPr>
        <w:rPr>
          <w:lang w:eastAsia="ja-JP"/>
        </w:rPr>
      </w:pPr>
    </w:p>
    <w:sectPr w:rsidR="00D13FCF" w:rsidRPr="00D13FCF">
      <w:headerReference w:type="even" r:id="rId42"/>
      <w:foot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CDF" w:rsidRDefault="00113CDF">
      <w:r>
        <w:separator/>
      </w:r>
    </w:p>
  </w:endnote>
  <w:endnote w:type="continuationSeparator" w:id="0">
    <w:p w:rsidR="00113CDF" w:rsidRDefault="0011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C87" w:rsidRDefault="007C7C87"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7B2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7B2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CDF" w:rsidRDefault="00113CDF">
      <w:r>
        <w:separator/>
      </w:r>
    </w:p>
  </w:footnote>
  <w:footnote w:type="continuationSeparator" w:id="0">
    <w:p w:rsidR="00113CDF" w:rsidRDefault="00113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C87" w:rsidRDefault="007C7C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B900FE9"/>
    <w:multiLevelType w:val="hybridMultilevel"/>
    <w:tmpl w:val="EF52E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123F24"/>
    <w:multiLevelType w:val="hybridMultilevel"/>
    <w:tmpl w:val="FEF0E2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F3E1FBA"/>
    <w:multiLevelType w:val="hybridMultilevel"/>
    <w:tmpl w:val="A450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F873A4"/>
    <w:multiLevelType w:val="multilevel"/>
    <w:tmpl w:val="CDEC67C8"/>
    <w:lvl w:ilvl="0">
      <w:start w:val="1"/>
      <w:numFmt w:val="bullet"/>
      <w:lvlText w:val=""/>
      <w:lvlJc w:val="left"/>
      <w:pPr>
        <w:tabs>
          <w:tab w:val="num" w:pos="420"/>
        </w:tabs>
        <w:ind w:left="420"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nsid w:val="449C4498"/>
    <w:multiLevelType w:val="hybridMultilevel"/>
    <w:tmpl w:val="7C7409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586F7581"/>
    <w:multiLevelType w:val="hybridMultilevel"/>
    <w:tmpl w:val="5448B40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23098"/>
    <w:multiLevelType w:val="hybridMultilevel"/>
    <w:tmpl w:val="0A5A9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85D0B"/>
    <w:multiLevelType w:val="hybridMultilevel"/>
    <w:tmpl w:val="79DA46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9"/>
  </w:num>
  <w:num w:numId="3">
    <w:abstractNumId w:val="8"/>
  </w:num>
  <w:num w:numId="4">
    <w:abstractNumId w:val="27"/>
  </w:num>
  <w:num w:numId="5">
    <w:abstractNumId w:val="3"/>
  </w:num>
  <w:num w:numId="6">
    <w:abstractNumId w:val="15"/>
  </w:num>
  <w:num w:numId="7">
    <w:abstractNumId w:val="22"/>
  </w:num>
  <w:num w:numId="8">
    <w:abstractNumId w:val="16"/>
  </w:num>
  <w:num w:numId="9">
    <w:abstractNumId w:val="11"/>
  </w:num>
  <w:num w:numId="10">
    <w:abstractNumId w:val="24"/>
  </w:num>
  <w:num w:numId="11">
    <w:abstractNumId w:val="20"/>
  </w:num>
  <w:num w:numId="12">
    <w:abstractNumId w:val="4"/>
  </w:num>
  <w:num w:numId="13">
    <w:abstractNumId w:val="2"/>
  </w:num>
  <w:num w:numId="14">
    <w:abstractNumId w:val="7"/>
  </w:num>
  <w:num w:numId="15">
    <w:abstractNumId w:val="26"/>
  </w:num>
  <w:num w:numId="16">
    <w:abstractNumId w:val="10"/>
  </w:num>
  <w:num w:numId="17">
    <w:abstractNumId w:val="1"/>
  </w:num>
  <w:num w:numId="18">
    <w:abstractNumId w:val="12"/>
  </w:num>
  <w:num w:numId="19">
    <w:abstractNumId w:val="21"/>
  </w:num>
  <w:num w:numId="20">
    <w:abstractNumId w:val="17"/>
  </w:num>
  <w:num w:numId="21">
    <w:abstractNumId w:val="6"/>
  </w:num>
  <w:num w:numId="22">
    <w:abstractNumId w:val="14"/>
  </w:num>
  <w:num w:numId="23">
    <w:abstractNumId w:val="25"/>
  </w:num>
  <w:num w:numId="24">
    <w:abstractNumId w:val="23"/>
  </w:num>
  <w:num w:numId="25">
    <w:abstractNumId w:val="13"/>
  </w:num>
  <w:num w:numId="26">
    <w:abstractNumId w:val="5"/>
  </w:num>
  <w:num w:numId="27">
    <w:abstractNumId w:val="18"/>
  </w:num>
  <w:num w:numId="28">
    <w:abstractNumId w:val="9"/>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5A19"/>
    <w:rsid w:val="000173A2"/>
    <w:rsid w:val="00024D9A"/>
    <w:rsid w:val="00026EDA"/>
    <w:rsid w:val="00031496"/>
    <w:rsid w:val="0003279D"/>
    <w:rsid w:val="00032DF6"/>
    <w:rsid w:val="00035A95"/>
    <w:rsid w:val="00040A52"/>
    <w:rsid w:val="00041DB9"/>
    <w:rsid w:val="00043AFB"/>
    <w:rsid w:val="0005240C"/>
    <w:rsid w:val="0005242B"/>
    <w:rsid w:val="00072848"/>
    <w:rsid w:val="000745F8"/>
    <w:rsid w:val="00075BE0"/>
    <w:rsid w:val="00080027"/>
    <w:rsid w:val="00084CEC"/>
    <w:rsid w:val="00086F37"/>
    <w:rsid w:val="000907BF"/>
    <w:rsid w:val="00094048"/>
    <w:rsid w:val="000948D4"/>
    <w:rsid w:val="000A0C1A"/>
    <w:rsid w:val="000A1B87"/>
    <w:rsid w:val="000A72FC"/>
    <w:rsid w:val="000A74F5"/>
    <w:rsid w:val="000A752C"/>
    <w:rsid w:val="000B26D2"/>
    <w:rsid w:val="000B2E82"/>
    <w:rsid w:val="000B4583"/>
    <w:rsid w:val="000B6F93"/>
    <w:rsid w:val="000D2847"/>
    <w:rsid w:val="000D2912"/>
    <w:rsid w:val="000D390B"/>
    <w:rsid w:val="000F144F"/>
    <w:rsid w:val="000F60B2"/>
    <w:rsid w:val="000F642E"/>
    <w:rsid w:val="00100E91"/>
    <w:rsid w:val="001121D2"/>
    <w:rsid w:val="00113CDF"/>
    <w:rsid w:val="00122699"/>
    <w:rsid w:val="001260F6"/>
    <w:rsid w:val="00127701"/>
    <w:rsid w:val="00131F98"/>
    <w:rsid w:val="00132565"/>
    <w:rsid w:val="001333A3"/>
    <w:rsid w:val="00141984"/>
    <w:rsid w:val="001516B4"/>
    <w:rsid w:val="00153BA9"/>
    <w:rsid w:val="00160FC2"/>
    <w:rsid w:val="00166D37"/>
    <w:rsid w:val="00176A80"/>
    <w:rsid w:val="00177B22"/>
    <w:rsid w:val="001805E5"/>
    <w:rsid w:val="001807D0"/>
    <w:rsid w:val="0018147C"/>
    <w:rsid w:val="00182390"/>
    <w:rsid w:val="00183A2F"/>
    <w:rsid w:val="001849C3"/>
    <w:rsid w:val="00185AD2"/>
    <w:rsid w:val="00187D58"/>
    <w:rsid w:val="0019129C"/>
    <w:rsid w:val="001964E3"/>
    <w:rsid w:val="00197EC1"/>
    <w:rsid w:val="001A01BF"/>
    <w:rsid w:val="001B6327"/>
    <w:rsid w:val="001B6B90"/>
    <w:rsid w:val="001C272F"/>
    <w:rsid w:val="001D6428"/>
    <w:rsid w:val="001E2BCB"/>
    <w:rsid w:val="001E34AE"/>
    <w:rsid w:val="001E36DE"/>
    <w:rsid w:val="001E3EBE"/>
    <w:rsid w:val="001F2699"/>
    <w:rsid w:val="001F3420"/>
    <w:rsid w:val="001F5E00"/>
    <w:rsid w:val="001F7FF8"/>
    <w:rsid w:val="002045FD"/>
    <w:rsid w:val="002046E6"/>
    <w:rsid w:val="002048F4"/>
    <w:rsid w:val="00206A50"/>
    <w:rsid w:val="00216465"/>
    <w:rsid w:val="00216D83"/>
    <w:rsid w:val="00221532"/>
    <w:rsid w:val="002307E8"/>
    <w:rsid w:val="0023122F"/>
    <w:rsid w:val="00234798"/>
    <w:rsid w:val="002367CC"/>
    <w:rsid w:val="00237E20"/>
    <w:rsid w:val="002400EE"/>
    <w:rsid w:val="0024231F"/>
    <w:rsid w:val="002508E6"/>
    <w:rsid w:val="002569A2"/>
    <w:rsid w:val="00261554"/>
    <w:rsid w:val="00270647"/>
    <w:rsid w:val="00272573"/>
    <w:rsid w:val="002733EF"/>
    <w:rsid w:val="00290F74"/>
    <w:rsid w:val="002910A4"/>
    <w:rsid w:val="00292D6B"/>
    <w:rsid w:val="002977EA"/>
    <w:rsid w:val="002A3430"/>
    <w:rsid w:val="002B5041"/>
    <w:rsid w:val="002C2B3A"/>
    <w:rsid w:val="002D1ADE"/>
    <w:rsid w:val="002D5960"/>
    <w:rsid w:val="002E6775"/>
    <w:rsid w:val="002F6970"/>
    <w:rsid w:val="00300390"/>
    <w:rsid w:val="0030263B"/>
    <w:rsid w:val="00303D52"/>
    <w:rsid w:val="00307CC8"/>
    <w:rsid w:val="00311735"/>
    <w:rsid w:val="003216DA"/>
    <w:rsid w:val="00327C0F"/>
    <w:rsid w:val="0033227D"/>
    <w:rsid w:val="00355CE4"/>
    <w:rsid w:val="0036402C"/>
    <w:rsid w:val="00371150"/>
    <w:rsid w:val="00373ACB"/>
    <w:rsid w:val="00373B48"/>
    <w:rsid w:val="0039330D"/>
    <w:rsid w:val="003943BA"/>
    <w:rsid w:val="00394EF9"/>
    <w:rsid w:val="0039592D"/>
    <w:rsid w:val="003A0E9F"/>
    <w:rsid w:val="003A4340"/>
    <w:rsid w:val="003A5799"/>
    <w:rsid w:val="003C2448"/>
    <w:rsid w:val="003C3F6C"/>
    <w:rsid w:val="003D0DEB"/>
    <w:rsid w:val="003D7B2C"/>
    <w:rsid w:val="003E319E"/>
    <w:rsid w:val="003F6902"/>
    <w:rsid w:val="0041465A"/>
    <w:rsid w:val="00416EC3"/>
    <w:rsid w:val="00417F6B"/>
    <w:rsid w:val="00420788"/>
    <w:rsid w:val="00433EB8"/>
    <w:rsid w:val="00433FF0"/>
    <w:rsid w:val="00442F9C"/>
    <w:rsid w:val="00463C49"/>
    <w:rsid w:val="004719A7"/>
    <w:rsid w:val="004876E5"/>
    <w:rsid w:val="00487889"/>
    <w:rsid w:val="00493C74"/>
    <w:rsid w:val="004950BA"/>
    <w:rsid w:val="004B0E99"/>
    <w:rsid w:val="004B1C14"/>
    <w:rsid w:val="004B37C6"/>
    <w:rsid w:val="004B565B"/>
    <w:rsid w:val="004B7041"/>
    <w:rsid w:val="004C7F18"/>
    <w:rsid w:val="004D10C7"/>
    <w:rsid w:val="004D1869"/>
    <w:rsid w:val="00506FCB"/>
    <w:rsid w:val="0051669B"/>
    <w:rsid w:val="00521731"/>
    <w:rsid w:val="00536997"/>
    <w:rsid w:val="0054440F"/>
    <w:rsid w:val="0054541A"/>
    <w:rsid w:val="00547C15"/>
    <w:rsid w:val="0055050C"/>
    <w:rsid w:val="0055569C"/>
    <w:rsid w:val="005600E5"/>
    <w:rsid w:val="0056047C"/>
    <w:rsid w:val="0056275E"/>
    <w:rsid w:val="0056349B"/>
    <w:rsid w:val="00563AD9"/>
    <w:rsid w:val="00573E75"/>
    <w:rsid w:val="00591123"/>
    <w:rsid w:val="00597A94"/>
    <w:rsid w:val="005A08EC"/>
    <w:rsid w:val="005A20B2"/>
    <w:rsid w:val="005A2E5A"/>
    <w:rsid w:val="005A3926"/>
    <w:rsid w:val="005A447B"/>
    <w:rsid w:val="005B603D"/>
    <w:rsid w:val="005D564B"/>
    <w:rsid w:val="005E0115"/>
    <w:rsid w:val="005E1875"/>
    <w:rsid w:val="005E495F"/>
    <w:rsid w:val="005F2A7B"/>
    <w:rsid w:val="005F3927"/>
    <w:rsid w:val="005F3EB4"/>
    <w:rsid w:val="005F5A31"/>
    <w:rsid w:val="005F6163"/>
    <w:rsid w:val="00602C39"/>
    <w:rsid w:val="00605AFD"/>
    <w:rsid w:val="0061073A"/>
    <w:rsid w:val="00610EDA"/>
    <w:rsid w:val="0061263B"/>
    <w:rsid w:val="0061487F"/>
    <w:rsid w:val="00616889"/>
    <w:rsid w:val="0061696F"/>
    <w:rsid w:val="00621407"/>
    <w:rsid w:val="00625265"/>
    <w:rsid w:val="00630573"/>
    <w:rsid w:val="00632FFE"/>
    <w:rsid w:val="00641D38"/>
    <w:rsid w:val="00656CA4"/>
    <w:rsid w:val="0066427E"/>
    <w:rsid w:val="00665C7F"/>
    <w:rsid w:val="006700F4"/>
    <w:rsid w:val="00674C3C"/>
    <w:rsid w:val="00676CA6"/>
    <w:rsid w:val="00682FBE"/>
    <w:rsid w:val="00683167"/>
    <w:rsid w:val="006856F5"/>
    <w:rsid w:val="0068629B"/>
    <w:rsid w:val="006923ED"/>
    <w:rsid w:val="006943DF"/>
    <w:rsid w:val="006950A4"/>
    <w:rsid w:val="00695AF3"/>
    <w:rsid w:val="006A0877"/>
    <w:rsid w:val="006A2D03"/>
    <w:rsid w:val="006B0901"/>
    <w:rsid w:val="006B3E21"/>
    <w:rsid w:val="006B57BD"/>
    <w:rsid w:val="006C1643"/>
    <w:rsid w:val="006C17E3"/>
    <w:rsid w:val="006D7962"/>
    <w:rsid w:val="006E2084"/>
    <w:rsid w:val="006F14CA"/>
    <w:rsid w:val="006F1A4C"/>
    <w:rsid w:val="006F454E"/>
    <w:rsid w:val="007021F4"/>
    <w:rsid w:val="007054D1"/>
    <w:rsid w:val="007146CA"/>
    <w:rsid w:val="00717109"/>
    <w:rsid w:val="0072503C"/>
    <w:rsid w:val="00745498"/>
    <w:rsid w:val="007500D8"/>
    <w:rsid w:val="00752956"/>
    <w:rsid w:val="0075782D"/>
    <w:rsid w:val="00763DF4"/>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B5E9C"/>
    <w:rsid w:val="007C4DC1"/>
    <w:rsid w:val="007C7C87"/>
    <w:rsid w:val="007D5A90"/>
    <w:rsid w:val="007E10A2"/>
    <w:rsid w:val="007E5AE3"/>
    <w:rsid w:val="007F0599"/>
    <w:rsid w:val="007F2F54"/>
    <w:rsid w:val="0080095B"/>
    <w:rsid w:val="0081426E"/>
    <w:rsid w:val="008261E6"/>
    <w:rsid w:val="00840706"/>
    <w:rsid w:val="00844F8A"/>
    <w:rsid w:val="00852DB4"/>
    <w:rsid w:val="00860BA1"/>
    <w:rsid w:val="0086417C"/>
    <w:rsid w:val="00873BBF"/>
    <w:rsid w:val="00874446"/>
    <w:rsid w:val="00874860"/>
    <w:rsid w:val="0087659A"/>
    <w:rsid w:val="0087790D"/>
    <w:rsid w:val="008A43A0"/>
    <w:rsid w:val="008A45ED"/>
    <w:rsid w:val="008A74F5"/>
    <w:rsid w:val="008C2B6A"/>
    <w:rsid w:val="008D07F7"/>
    <w:rsid w:val="008F4EBE"/>
    <w:rsid w:val="008F6F03"/>
    <w:rsid w:val="00902C49"/>
    <w:rsid w:val="00914396"/>
    <w:rsid w:val="00915CF3"/>
    <w:rsid w:val="00927B1B"/>
    <w:rsid w:val="00933164"/>
    <w:rsid w:val="0094632A"/>
    <w:rsid w:val="00951222"/>
    <w:rsid w:val="00957C5B"/>
    <w:rsid w:val="00960065"/>
    <w:rsid w:val="0096358B"/>
    <w:rsid w:val="00975E3D"/>
    <w:rsid w:val="009804DC"/>
    <w:rsid w:val="00981D8C"/>
    <w:rsid w:val="0098483D"/>
    <w:rsid w:val="00987A31"/>
    <w:rsid w:val="009A0911"/>
    <w:rsid w:val="009A50AF"/>
    <w:rsid w:val="009A7F90"/>
    <w:rsid w:val="009B1816"/>
    <w:rsid w:val="009B4610"/>
    <w:rsid w:val="009B7811"/>
    <w:rsid w:val="009C00F9"/>
    <w:rsid w:val="009C035A"/>
    <w:rsid w:val="009C3C98"/>
    <w:rsid w:val="009C66E4"/>
    <w:rsid w:val="009C6923"/>
    <w:rsid w:val="009C7188"/>
    <w:rsid w:val="009D0B78"/>
    <w:rsid w:val="009D2144"/>
    <w:rsid w:val="009E36A1"/>
    <w:rsid w:val="009E3AD0"/>
    <w:rsid w:val="009E4669"/>
    <w:rsid w:val="009E482C"/>
    <w:rsid w:val="00A007A1"/>
    <w:rsid w:val="00A04429"/>
    <w:rsid w:val="00A15C9B"/>
    <w:rsid w:val="00A200C3"/>
    <w:rsid w:val="00A2271C"/>
    <w:rsid w:val="00A31F75"/>
    <w:rsid w:val="00A372E4"/>
    <w:rsid w:val="00A37B87"/>
    <w:rsid w:val="00A40B6B"/>
    <w:rsid w:val="00A415D0"/>
    <w:rsid w:val="00A46849"/>
    <w:rsid w:val="00A6547C"/>
    <w:rsid w:val="00A67C14"/>
    <w:rsid w:val="00A71C2F"/>
    <w:rsid w:val="00A7580B"/>
    <w:rsid w:val="00A847B3"/>
    <w:rsid w:val="00A85FBA"/>
    <w:rsid w:val="00AA2C39"/>
    <w:rsid w:val="00AC16E1"/>
    <w:rsid w:val="00AC1B98"/>
    <w:rsid w:val="00AC24AD"/>
    <w:rsid w:val="00AC6493"/>
    <w:rsid w:val="00AD7ACC"/>
    <w:rsid w:val="00AE2DEC"/>
    <w:rsid w:val="00AE6CD8"/>
    <w:rsid w:val="00AF14D9"/>
    <w:rsid w:val="00AF21EF"/>
    <w:rsid w:val="00B001EB"/>
    <w:rsid w:val="00B070B4"/>
    <w:rsid w:val="00B20B2A"/>
    <w:rsid w:val="00B3700B"/>
    <w:rsid w:val="00B41002"/>
    <w:rsid w:val="00B440E1"/>
    <w:rsid w:val="00B44923"/>
    <w:rsid w:val="00B54442"/>
    <w:rsid w:val="00B60F3E"/>
    <w:rsid w:val="00B63D01"/>
    <w:rsid w:val="00B641F2"/>
    <w:rsid w:val="00B66648"/>
    <w:rsid w:val="00B70F7F"/>
    <w:rsid w:val="00B71204"/>
    <w:rsid w:val="00B73091"/>
    <w:rsid w:val="00B73BFA"/>
    <w:rsid w:val="00B74003"/>
    <w:rsid w:val="00B91844"/>
    <w:rsid w:val="00B92A16"/>
    <w:rsid w:val="00B92FFA"/>
    <w:rsid w:val="00BA00DF"/>
    <w:rsid w:val="00BA0A3C"/>
    <w:rsid w:val="00BA2BBC"/>
    <w:rsid w:val="00BA44F6"/>
    <w:rsid w:val="00BB409B"/>
    <w:rsid w:val="00BB5B52"/>
    <w:rsid w:val="00BB5E89"/>
    <w:rsid w:val="00BC0DAE"/>
    <w:rsid w:val="00BC617A"/>
    <w:rsid w:val="00BC78AE"/>
    <w:rsid w:val="00BD6F66"/>
    <w:rsid w:val="00BE12AA"/>
    <w:rsid w:val="00BE14AD"/>
    <w:rsid w:val="00BE178E"/>
    <w:rsid w:val="00BF1CA6"/>
    <w:rsid w:val="00BF79AF"/>
    <w:rsid w:val="00C023E7"/>
    <w:rsid w:val="00C024D5"/>
    <w:rsid w:val="00C03BEB"/>
    <w:rsid w:val="00C04461"/>
    <w:rsid w:val="00C14E32"/>
    <w:rsid w:val="00C15EA8"/>
    <w:rsid w:val="00C40781"/>
    <w:rsid w:val="00C434D1"/>
    <w:rsid w:val="00C44F53"/>
    <w:rsid w:val="00C46CCF"/>
    <w:rsid w:val="00C53FE5"/>
    <w:rsid w:val="00C56F01"/>
    <w:rsid w:val="00C6639F"/>
    <w:rsid w:val="00C70167"/>
    <w:rsid w:val="00C70557"/>
    <w:rsid w:val="00CB0D6C"/>
    <w:rsid w:val="00CB4869"/>
    <w:rsid w:val="00CC1B0D"/>
    <w:rsid w:val="00CD4651"/>
    <w:rsid w:val="00CE10C4"/>
    <w:rsid w:val="00CE3671"/>
    <w:rsid w:val="00CE7F1A"/>
    <w:rsid w:val="00D00ECF"/>
    <w:rsid w:val="00D01B9D"/>
    <w:rsid w:val="00D07372"/>
    <w:rsid w:val="00D12CC8"/>
    <w:rsid w:val="00D12FEE"/>
    <w:rsid w:val="00D13FCF"/>
    <w:rsid w:val="00D17C90"/>
    <w:rsid w:val="00D236D6"/>
    <w:rsid w:val="00D24FE9"/>
    <w:rsid w:val="00D335AA"/>
    <w:rsid w:val="00D33D34"/>
    <w:rsid w:val="00D422B2"/>
    <w:rsid w:val="00D42F81"/>
    <w:rsid w:val="00D50775"/>
    <w:rsid w:val="00D64EF3"/>
    <w:rsid w:val="00D74505"/>
    <w:rsid w:val="00D7588D"/>
    <w:rsid w:val="00D76D77"/>
    <w:rsid w:val="00D76E6F"/>
    <w:rsid w:val="00D846C7"/>
    <w:rsid w:val="00D90968"/>
    <w:rsid w:val="00D92EE6"/>
    <w:rsid w:val="00D94598"/>
    <w:rsid w:val="00D96B70"/>
    <w:rsid w:val="00D97012"/>
    <w:rsid w:val="00DA13D4"/>
    <w:rsid w:val="00DA1524"/>
    <w:rsid w:val="00DB0941"/>
    <w:rsid w:val="00DB387A"/>
    <w:rsid w:val="00DB5AF6"/>
    <w:rsid w:val="00DB5E3C"/>
    <w:rsid w:val="00DB6FDB"/>
    <w:rsid w:val="00DC5CE0"/>
    <w:rsid w:val="00DC6D4A"/>
    <w:rsid w:val="00DC70F4"/>
    <w:rsid w:val="00DD3E3A"/>
    <w:rsid w:val="00DE6F2C"/>
    <w:rsid w:val="00DF0FE0"/>
    <w:rsid w:val="00DF163F"/>
    <w:rsid w:val="00E03F83"/>
    <w:rsid w:val="00E05786"/>
    <w:rsid w:val="00E14C91"/>
    <w:rsid w:val="00E2380E"/>
    <w:rsid w:val="00E367B4"/>
    <w:rsid w:val="00E3684E"/>
    <w:rsid w:val="00E476CA"/>
    <w:rsid w:val="00E553CB"/>
    <w:rsid w:val="00E60C73"/>
    <w:rsid w:val="00E61808"/>
    <w:rsid w:val="00E66CD0"/>
    <w:rsid w:val="00E7004A"/>
    <w:rsid w:val="00E72DCD"/>
    <w:rsid w:val="00E737B6"/>
    <w:rsid w:val="00E823EC"/>
    <w:rsid w:val="00E879F9"/>
    <w:rsid w:val="00E9120C"/>
    <w:rsid w:val="00EA004B"/>
    <w:rsid w:val="00EA2B4B"/>
    <w:rsid w:val="00EA4319"/>
    <w:rsid w:val="00EB03B3"/>
    <w:rsid w:val="00EB23CD"/>
    <w:rsid w:val="00EB6E1B"/>
    <w:rsid w:val="00ED0A21"/>
    <w:rsid w:val="00ED6325"/>
    <w:rsid w:val="00EE1E9A"/>
    <w:rsid w:val="00EE3337"/>
    <w:rsid w:val="00EE490F"/>
    <w:rsid w:val="00EF3302"/>
    <w:rsid w:val="00EF5CC3"/>
    <w:rsid w:val="00F12EE5"/>
    <w:rsid w:val="00F143B6"/>
    <w:rsid w:val="00F20051"/>
    <w:rsid w:val="00F20DDB"/>
    <w:rsid w:val="00F213EE"/>
    <w:rsid w:val="00F26B40"/>
    <w:rsid w:val="00F30A79"/>
    <w:rsid w:val="00F37293"/>
    <w:rsid w:val="00F4409B"/>
    <w:rsid w:val="00F45A77"/>
    <w:rsid w:val="00F47F7C"/>
    <w:rsid w:val="00F552B1"/>
    <w:rsid w:val="00F6478A"/>
    <w:rsid w:val="00F712FC"/>
    <w:rsid w:val="00F72433"/>
    <w:rsid w:val="00F72B26"/>
    <w:rsid w:val="00F77421"/>
    <w:rsid w:val="00F81A97"/>
    <w:rsid w:val="00F83200"/>
    <w:rsid w:val="00F855B6"/>
    <w:rsid w:val="00F96431"/>
    <w:rsid w:val="00F96A87"/>
    <w:rsid w:val="00FA2526"/>
    <w:rsid w:val="00FA31EB"/>
    <w:rsid w:val="00FA45E4"/>
    <w:rsid w:val="00FC2FF5"/>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DC6D4A"/>
    <w:pPr>
      <w:ind w:left="720"/>
      <w:contextualSpacing/>
    </w:pPr>
  </w:style>
  <w:style w:type="paragraph" w:customStyle="1" w:styleId="H6">
    <w:name w:val="H6"/>
    <w:basedOn w:val="Heading5"/>
    <w:next w:val="Normal"/>
    <w:rsid w:val="00CE10C4"/>
    <w:pPr>
      <w:overflowPunct/>
      <w:autoSpaceDE/>
      <w:autoSpaceDN/>
      <w:adjustRightInd/>
      <w:ind w:left="1985" w:hanging="1985"/>
      <w:textAlignment w:val="auto"/>
      <w:outlineLvl w:val="9"/>
    </w:pPr>
    <w:rPr>
      <w:rFonts w:eastAsia="宋体" w:cs="Times New Roman"/>
      <w:sz w:val="20"/>
      <w:szCs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7B5E9C"/>
    <w:rPr>
      <w:b/>
      <w:bCs/>
      <w:sz w:val="22"/>
      <w:lang w:val="en-GB"/>
    </w:rPr>
  </w:style>
  <w:style w:type="paragraph" w:customStyle="1" w:styleId="Reference">
    <w:name w:val="Reference"/>
    <w:basedOn w:val="Normal"/>
    <w:rsid w:val="00FA2526"/>
    <w:pPr>
      <w:keepLines/>
      <w:numPr>
        <w:ilvl w:val="1"/>
        <w:numId w:val="27"/>
      </w:numPr>
      <w:overflowPunct/>
      <w:autoSpaceDE/>
      <w:autoSpaceDN/>
      <w:adjustRightInd/>
      <w:spacing w:after="180"/>
      <w:jc w:val="left"/>
      <w:textAlignment w:val="auto"/>
    </w:pPr>
    <w:rPr>
      <w:rFonts w:eastAsia="MS Mincho"/>
      <w:sz w:val="20"/>
      <w:lang w:eastAsia="en-US"/>
    </w:rPr>
  </w:style>
  <w:style w:type="character" w:styleId="PlaceholderText">
    <w:name w:val="Placeholder Text"/>
    <w:basedOn w:val="DefaultParagraphFont"/>
    <w:uiPriority w:val="99"/>
    <w:semiHidden/>
    <w:rsid w:val="00D17C9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DC6D4A"/>
    <w:pPr>
      <w:ind w:left="720"/>
      <w:contextualSpacing/>
    </w:pPr>
  </w:style>
  <w:style w:type="paragraph" w:customStyle="1" w:styleId="H6">
    <w:name w:val="H6"/>
    <w:basedOn w:val="Heading5"/>
    <w:next w:val="Normal"/>
    <w:rsid w:val="00CE10C4"/>
    <w:pPr>
      <w:overflowPunct/>
      <w:autoSpaceDE/>
      <w:autoSpaceDN/>
      <w:adjustRightInd/>
      <w:ind w:left="1985" w:hanging="1985"/>
      <w:textAlignment w:val="auto"/>
      <w:outlineLvl w:val="9"/>
    </w:pPr>
    <w:rPr>
      <w:rFonts w:eastAsia="宋体" w:cs="Times New Roman"/>
      <w:sz w:val="20"/>
      <w:szCs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7B5E9C"/>
    <w:rPr>
      <w:b/>
      <w:bCs/>
      <w:sz w:val="22"/>
      <w:lang w:val="en-GB"/>
    </w:rPr>
  </w:style>
  <w:style w:type="paragraph" w:customStyle="1" w:styleId="Reference">
    <w:name w:val="Reference"/>
    <w:basedOn w:val="Normal"/>
    <w:rsid w:val="00FA2526"/>
    <w:pPr>
      <w:keepLines/>
      <w:numPr>
        <w:ilvl w:val="1"/>
        <w:numId w:val="27"/>
      </w:numPr>
      <w:overflowPunct/>
      <w:autoSpaceDE/>
      <w:autoSpaceDN/>
      <w:adjustRightInd/>
      <w:spacing w:after="180"/>
      <w:jc w:val="left"/>
      <w:textAlignment w:val="auto"/>
    </w:pPr>
    <w:rPr>
      <w:rFonts w:eastAsia="MS Mincho"/>
      <w:sz w:val="20"/>
      <w:lang w:eastAsia="en-US"/>
    </w:rPr>
  </w:style>
  <w:style w:type="character" w:styleId="PlaceholderText">
    <w:name w:val="Placeholder Text"/>
    <w:basedOn w:val="DefaultParagraphFont"/>
    <w:uiPriority w:val="99"/>
    <w:semiHidden/>
    <w:rsid w:val="00D1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5406">
      <w:bodyDiv w:val="1"/>
      <w:marLeft w:val="0"/>
      <w:marRight w:val="0"/>
      <w:marTop w:val="0"/>
      <w:marBottom w:val="0"/>
      <w:divBdr>
        <w:top w:val="none" w:sz="0" w:space="0" w:color="auto"/>
        <w:left w:val="none" w:sz="0" w:space="0" w:color="auto"/>
        <w:bottom w:val="none" w:sz="0" w:space="0" w:color="auto"/>
        <w:right w:val="none" w:sz="0" w:space="0" w:color="auto"/>
      </w:divBdr>
    </w:div>
    <w:div w:id="625550878">
      <w:bodyDiv w:val="1"/>
      <w:marLeft w:val="0"/>
      <w:marRight w:val="0"/>
      <w:marTop w:val="0"/>
      <w:marBottom w:val="0"/>
      <w:divBdr>
        <w:top w:val="none" w:sz="0" w:space="0" w:color="auto"/>
        <w:left w:val="none" w:sz="0" w:space="0" w:color="auto"/>
        <w:bottom w:val="none" w:sz="0" w:space="0" w:color="auto"/>
        <w:right w:val="none" w:sz="0" w:space="0" w:color="auto"/>
      </w:divBdr>
    </w:div>
    <w:div w:id="65676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6E50F-ECB7-4AC9-95C1-905C6914C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14</cp:revision>
  <cp:lastPrinted>2013-04-03T08:18:00Z</cp:lastPrinted>
  <dcterms:created xsi:type="dcterms:W3CDTF">2013-04-07T06:17:00Z</dcterms:created>
  <dcterms:modified xsi:type="dcterms:W3CDTF">2013-04-08T14:20:00Z</dcterms:modified>
</cp:coreProperties>
</file>